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588FF" w14:textId="77777777" w:rsidR="00AD67B0" w:rsidRPr="00853169" w:rsidRDefault="00AD67B0" w:rsidP="00FD4789">
      <w:pPr>
        <w:spacing w:line="360" w:lineRule="auto"/>
        <w:ind w:right="237"/>
        <w:rPr>
          <w:rFonts w:ascii="Arial" w:hAnsi="Arial" w:cs="Arial"/>
          <w:sz w:val="28"/>
          <w:szCs w:val="28"/>
          <w:lang w:val="el-GR"/>
        </w:rPr>
      </w:pPr>
      <w:bookmarkStart w:id="0" w:name="_GoBack"/>
      <w:bookmarkEnd w:id="0"/>
      <w:r w:rsidRPr="00853169">
        <w:rPr>
          <w:rFonts w:ascii="Arial" w:hAnsi="Arial" w:cs="Arial"/>
          <w:sz w:val="28"/>
          <w:szCs w:val="28"/>
          <w:lang w:val="el-GR"/>
        </w:rPr>
        <w:t>ΑΝΩΤΑΤΟ ΣΥΝΤΑΓΜΑΤΙΚΟ ΔΙΚΑΣΤΗΡΙΟ ΚΥΠΡΟΥ</w:t>
      </w:r>
    </w:p>
    <w:p w14:paraId="6E9567B0" w14:textId="77777777" w:rsidR="00AD67B0" w:rsidRPr="00853169" w:rsidRDefault="00AD67B0" w:rsidP="00FD4789">
      <w:pPr>
        <w:spacing w:line="360" w:lineRule="auto"/>
        <w:ind w:right="237"/>
        <w:rPr>
          <w:rFonts w:ascii="Arial" w:hAnsi="Arial" w:cs="Arial"/>
          <w:sz w:val="28"/>
          <w:szCs w:val="28"/>
          <w:lang w:val="el-GR"/>
        </w:rPr>
      </w:pPr>
      <w:r w:rsidRPr="00853169">
        <w:rPr>
          <w:rFonts w:ascii="Arial" w:hAnsi="Arial" w:cs="Arial"/>
          <w:sz w:val="28"/>
          <w:szCs w:val="28"/>
          <w:lang w:val="el-GR"/>
        </w:rPr>
        <w:t xml:space="preserve">ΔΕΥΤΕΡΟΒΑΘΜΙΑ ΔΙΚΑΙΟΔΟΣΙΑ </w:t>
      </w:r>
    </w:p>
    <w:p w14:paraId="01C19398" w14:textId="77777777" w:rsidR="00245E90" w:rsidRPr="00853169" w:rsidRDefault="00245E90" w:rsidP="00FD4789">
      <w:pPr>
        <w:spacing w:line="360" w:lineRule="auto"/>
        <w:ind w:right="237"/>
        <w:rPr>
          <w:rFonts w:ascii="Arial" w:hAnsi="Arial" w:cs="Arial"/>
          <w:sz w:val="28"/>
          <w:szCs w:val="28"/>
          <w:lang w:val="el-GR"/>
        </w:rPr>
      </w:pPr>
    </w:p>
    <w:p w14:paraId="56D239DD" w14:textId="77777777" w:rsidR="00245E90" w:rsidRPr="00853169" w:rsidRDefault="00245E90" w:rsidP="00FD4789">
      <w:pPr>
        <w:ind w:right="237"/>
        <w:jc w:val="both"/>
        <w:rPr>
          <w:rFonts w:ascii="Arial" w:hAnsi="Arial" w:cs="Arial"/>
          <w:i/>
          <w:iCs/>
          <w:sz w:val="28"/>
          <w:szCs w:val="28"/>
          <w:u w:val="single"/>
          <w:lang w:val="el-GR"/>
        </w:rPr>
      </w:pPr>
      <w:r w:rsidRPr="00853169">
        <w:rPr>
          <w:rFonts w:ascii="Arial" w:hAnsi="Arial" w:cs="Arial"/>
          <w:i/>
          <w:iCs/>
          <w:sz w:val="28"/>
          <w:szCs w:val="28"/>
          <w:u w:val="single"/>
          <w:lang w:val="el-GR"/>
        </w:rPr>
        <w:t>(Άρθρο 23(3)(β)(</w:t>
      </w:r>
      <w:proofErr w:type="spellStart"/>
      <w:r w:rsidRPr="00853169">
        <w:rPr>
          <w:rFonts w:ascii="Arial" w:hAnsi="Arial" w:cs="Arial"/>
          <w:i/>
          <w:iCs/>
          <w:sz w:val="28"/>
          <w:szCs w:val="28"/>
          <w:u w:val="single"/>
        </w:rPr>
        <w:t>i</w:t>
      </w:r>
      <w:proofErr w:type="spellEnd"/>
      <w:r w:rsidRPr="00853169">
        <w:rPr>
          <w:rFonts w:ascii="Arial" w:hAnsi="Arial" w:cs="Arial"/>
          <w:i/>
          <w:iCs/>
          <w:sz w:val="28"/>
          <w:szCs w:val="28"/>
          <w:u w:val="single"/>
          <w:lang w:val="el-GR"/>
        </w:rPr>
        <w:t>) του Ν.33/64 – Μεταβατικές Διατάξεις)</w:t>
      </w:r>
    </w:p>
    <w:p w14:paraId="74B7CEF5" w14:textId="77777777" w:rsidR="00AD67B0" w:rsidRPr="00853169" w:rsidRDefault="00AD67B0" w:rsidP="00FD4789">
      <w:pPr>
        <w:spacing w:line="360" w:lineRule="auto"/>
        <w:ind w:left="142" w:right="237"/>
        <w:rPr>
          <w:rFonts w:ascii="Arial" w:hAnsi="Arial" w:cs="Arial"/>
          <w:sz w:val="28"/>
          <w:szCs w:val="28"/>
          <w:lang w:val="el-GR"/>
        </w:rPr>
      </w:pPr>
    </w:p>
    <w:p w14:paraId="4A8B8F4E" w14:textId="1E91D6EC" w:rsidR="00AD67B0" w:rsidRPr="00853169" w:rsidRDefault="00AD67B0" w:rsidP="00FD4789">
      <w:pPr>
        <w:spacing w:line="360" w:lineRule="auto"/>
        <w:ind w:left="187" w:right="237"/>
        <w:jc w:val="right"/>
        <w:rPr>
          <w:rFonts w:ascii="Arial" w:hAnsi="Arial" w:cs="Arial"/>
          <w:b/>
          <w:i/>
          <w:iCs/>
          <w:sz w:val="28"/>
          <w:szCs w:val="28"/>
          <w:u w:val="single"/>
          <w:lang w:val="el-GR"/>
        </w:rPr>
      </w:pPr>
      <w:r w:rsidRPr="00853169">
        <w:rPr>
          <w:rFonts w:ascii="Arial" w:hAnsi="Arial" w:cs="Arial"/>
          <w:b/>
          <w:i/>
          <w:iCs/>
          <w:sz w:val="28"/>
          <w:szCs w:val="28"/>
          <w:u w:val="single"/>
          <w:lang w:val="el-GR"/>
        </w:rPr>
        <w:t xml:space="preserve">ΕΦΕΣΗ ΚΑΤΑ ΑΠΟΦΑΣΗΣ ΔΙΟΙΚΗΤΙΚΟΥ Δ/ΡΙΟΥ ΑΡ. </w:t>
      </w:r>
      <w:r w:rsidR="006A0A64">
        <w:rPr>
          <w:rFonts w:ascii="Arial" w:hAnsi="Arial" w:cs="Arial"/>
          <w:b/>
          <w:i/>
          <w:iCs/>
          <w:sz w:val="28"/>
          <w:szCs w:val="28"/>
          <w:u w:val="single"/>
          <w:lang w:val="el-GR"/>
        </w:rPr>
        <w:t>69</w:t>
      </w:r>
      <w:r w:rsidRPr="00853169">
        <w:rPr>
          <w:rFonts w:ascii="Arial" w:hAnsi="Arial" w:cs="Arial"/>
          <w:b/>
          <w:i/>
          <w:iCs/>
          <w:sz w:val="28"/>
          <w:szCs w:val="28"/>
          <w:u w:val="single"/>
          <w:lang w:val="el-GR"/>
        </w:rPr>
        <w:t>/201</w:t>
      </w:r>
      <w:r w:rsidR="006A0A64">
        <w:rPr>
          <w:rFonts w:ascii="Arial" w:hAnsi="Arial" w:cs="Arial"/>
          <w:b/>
          <w:i/>
          <w:iCs/>
          <w:sz w:val="28"/>
          <w:szCs w:val="28"/>
          <w:u w:val="single"/>
          <w:lang w:val="el-GR"/>
        </w:rPr>
        <w:t>8</w:t>
      </w:r>
    </w:p>
    <w:p w14:paraId="67057861" w14:textId="77777777" w:rsidR="00AD67B0" w:rsidRPr="00853169" w:rsidRDefault="00AD67B0" w:rsidP="00FD4789">
      <w:pPr>
        <w:spacing w:line="360" w:lineRule="auto"/>
        <w:ind w:left="187" w:right="237"/>
        <w:rPr>
          <w:rFonts w:ascii="Arial" w:hAnsi="Arial" w:cs="Arial"/>
          <w:b/>
          <w:sz w:val="28"/>
          <w:szCs w:val="28"/>
          <w:u w:val="single"/>
          <w:lang w:val="el-GR"/>
        </w:rPr>
      </w:pPr>
    </w:p>
    <w:p w14:paraId="0BDF4496" w14:textId="7ED53909" w:rsidR="00412D3E" w:rsidRPr="00853169" w:rsidRDefault="00263A05" w:rsidP="00FD4789">
      <w:pPr>
        <w:spacing w:line="360" w:lineRule="auto"/>
        <w:ind w:left="187" w:right="237"/>
        <w:jc w:val="center"/>
        <w:rPr>
          <w:rFonts w:ascii="Arial" w:hAnsi="Arial" w:cs="Arial"/>
          <w:bCs/>
          <w:sz w:val="28"/>
          <w:szCs w:val="28"/>
          <w:lang w:val="el-GR"/>
        </w:rPr>
      </w:pPr>
      <w:r>
        <w:rPr>
          <w:rFonts w:ascii="Arial" w:hAnsi="Arial" w:cs="Arial"/>
          <w:bCs/>
          <w:sz w:val="28"/>
          <w:szCs w:val="28"/>
          <w:lang w:val="el-GR"/>
        </w:rPr>
        <w:t>11</w:t>
      </w:r>
      <w:r w:rsidR="00412D3E" w:rsidRPr="00853169">
        <w:rPr>
          <w:rFonts w:ascii="Arial" w:hAnsi="Arial" w:cs="Arial"/>
          <w:bCs/>
          <w:sz w:val="28"/>
          <w:szCs w:val="28"/>
          <w:lang w:val="el-GR"/>
        </w:rPr>
        <w:t xml:space="preserve"> </w:t>
      </w:r>
      <w:r w:rsidR="00B6571A">
        <w:rPr>
          <w:rFonts w:ascii="Arial" w:hAnsi="Arial" w:cs="Arial"/>
          <w:bCs/>
          <w:sz w:val="28"/>
          <w:szCs w:val="28"/>
          <w:lang w:val="el-GR"/>
        </w:rPr>
        <w:t>Ιανουαρίου</w:t>
      </w:r>
      <w:r w:rsidR="00412D3E" w:rsidRPr="00853169">
        <w:rPr>
          <w:rFonts w:ascii="Arial" w:hAnsi="Arial" w:cs="Arial"/>
          <w:bCs/>
          <w:sz w:val="28"/>
          <w:szCs w:val="28"/>
          <w:lang w:val="el-GR"/>
        </w:rPr>
        <w:t>, 202</w:t>
      </w:r>
      <w:r>
        <w:rPr>
          <w:rFonts w:ascii="Arial" w:hAnsi="Arial" w:cs="Arial"/>
          <w:bCs/>
          <w:sz w:val="28"/>
          <w:szCs w:val="28"/>
          <w:lang w:val="el-GR"/>
        </w:rPr>
        <w:t>4</w:t>
      </w:r>
      <w:r w:rsidR="00412D3E" w:rsidRPr="00853169">
        <w:rPr>
          <w:rFonts w:ascii="Arial" w:hAnsi="Arial" w:cs="Arial"/>
          <w:bCs/>
          <w:sz w:val="28"/>
          <w:szCs w:val="28"/>
          <w:lang w:val="el-GR"/>
        </w:rPr>
        <w:t xml:space="preserve"> </w:t>
      </w:r>
    </w:p>
    <w:p w14:paraId="10FFD199" w14:textId="77777777" w:rsidR="00412D3E" w:rsidRPr="00853169" w:rsidRDefault="00412D3E" w:rsidP="00FD4789">
      <w:pPr>
        <w:spacing w:line="360" w:lineRule="auto"/>
        <w:ind w:left="187" w:right="237"/>
        <w:jc w:val="center"/>
        <w:rPr>
          <w:rFonts w:ascii="Arial" w:hAnsi="Arial" w:cs="Arial"/>
          <w:bCs/>
          <w:sz w:val="28"/>
          <w:szCs w:val="28"/>
          <w:lang w:val="el-GR"/>
        </w:rPr>
      </w:pPr>
    </w:p>
    <w:p w14:paraId="57E8014C" w14:textId="4AF3607B" w:rsidR="00AD67B0" w:rsidRPr="00853169" w:rsidRDefault="00AD67B0" w:rsidP="00FD4789">
      <w:pPr>
        <w:spacing w:line="360" w:lineRule="auto"/>
        <w:ind w:left="187" w:right="237"/>
        <w:jc w:val="center"/>
        <w:rPr>
          <w:rFonts w:ascii="Arial" w:hAnsi="Arial" w:cs="Arial"/>
          <w:b/>
          <w:sz w:val="28"/>
          <w:szCs w:val="28"/>
          <w:u w:val="single"/>
          <w:lang w:val="el-GR"/>
        </w:rPr>
      </w:pPr>
      <w:r w:rsidRPr="00853169">
        <w:rPr>
          <w:rFonts w:ascii="Arial" w:hAnsi="Arial" w:cs="Arial"/>
          <w:b/>
          <w:sz w:val="28"/>
          <w:szCs w:val="28"/>
          <w:lang w:val="el-GR"/>
        </w:rPr>
        <w:t>[Τ. ΨΑΡΑ-ΜΙΛΤΙΑΔΟΥ, ΣΤ. ΧΑΤΖΗΓΙΑΝΝΗ, Η. ΓΕΩΡΓΙΟΥ</w:t>
      </w:r>
      <w:r w:rsidR="00731275">
        <w:rPr>
          <w:rFonts w:ascii="Arial" w:hAnsi="Arial" w:cs="Arial"/>
          <w:b/>
          <w:sz w:val="28"/>
          <w:szCs w:val="28"/>
          <w:lang w:val="el-GR"/>
        </w:rPr>
        <w:t>,</w:t>
      </w:r>
      <w:r w:rsidRPr="00853169">
        <w:rPr>
          <w:rFonts w:ascii="Arial" w:hAnsi="Arial" w:cs="Arial"/>
          <w:b/>
          <w:sz w:val="28"/>
          <w:szCs w:val="28"/>
          <w:lang w:val="el-GR"/>
        </w:rPr>
        <w:t xml:space="preserve"> </w:t>
      </w:r>
      <w:r w:rsidRPr="00853169">
        <w:rPr>
          <w:rFonts w:ascii="Arial" w:hAnsi="Arial" w:cs="Arial"/>
          <w:b/>
          <w:i/>
          <w:iCs/>
          <w:sz w:val="28"/>
          <w:szCs w:val="28"/>
          <w:lang w:val="el-GR"/>
        </w:rPr>
        <w:t>Δ</w:t>
      </w:r>
      <w:r w:rsidR="00731275">
        <w:rPr>
          <w:rFonts w:ascii="Arial" w:hAnsi="Arial" w:cs="Arial"/>
          <w:b/>
          <w:i/>
          <w:iCs/>
          <w:sz w:val="28"/>
          <w:szCs w:val="28"/>
          <w:lang w:val="el-GR"/>
        </w:rPr>
        <w:t>/ΣΤΕΣ</w:t>
      </w:r>
      <w:r w:rsidRPr="00853169">
        <w:rPr>
          <w:rFonts w:ascii="Arial" w:hAnsi="Arial" w:cs="Arial"/>
          <w:b/>
          <w:i/>
          <w:iCs/>
          <w:sz w:val="28"/>
          <w:szCs w:val="28"/>
          <w:lang w:val="el-GR"/>
        </w:rPr>
        <w:t>]</w:t>
      </w:r>
    </w:p>
    <w:p w14:paraId="7A869533" w14:textId="77777777" w:rsidR="00AD67B0" w:rsidRPr="00853169" w:rsidRDefault="00AD67B0" w:rsidP="00FD4789">
      <w:pPr>
        <w:spacing w:line="360" w:lineRule="auto"/>
        <w:ind w:left="187" w:right="237"/>
        <w:jc w:val="right"/>
        <w:rPr>
          <w:rFonts w:ascii="Arial" w:hAnsi="Arial" w:cs="Arial"/>
          <w:b/>
          <w:sz w:val="28"/>
          <w:szCs w:val="28"/>
          <w:u w:val="single"/>
          <w:lang w:val="el-GR"/>
        </w:rPr>
      </w:pPr>
    </w:p>
    <w:p w14:paraId="600C6CE7" w14:textId="77777777" w:rsidR="00ED4D30" w:rsidRPr="00ED4D30" w:rsidRDefault="00ED4D30" w:rsidP="00FD4789">
      <w:pPr>
        <w:spacing w:line="360" w:lineRule="auto"/>
        <w:ind w:right="237"/>
        <w:jc w:val="center"/>
        <w:rPr>
          <w:rFonts w:ascii="Arial" w:hAnsi="Arial" w:cs="Arial"/>
          <w:sz w:val="28"/>
          <w:szCs w:val="28"/>
          <w:lang w:val="el-GR"/>
        </w:rPr>
      </w:pPr>
      <w:r>
        <w:rPr>
          <w:rFonts w:ascii="Arial" w:hAnsi="Arial" w:cs="Arial"/>
          <w:sz w:val="28"/>
          <w:szCs w:val="28"/>
        </w:rPr>
        <w:t>PRETORIAN</w:t>
      </w:r>
      <w:r w:rsidRPr="00ED4D30">
        <w:rPr>
          <w:rFonts w:ascii="Arial" w:hAnsi="Arial" w:cs="Arial"/>
          <w:sz w:val="28"/>
          <w:szCs w:val="28"/>
          <w:lang w:val="el-GR"/>
        </w:rPr>
        <w:t xml:space="preserve"> </w:t>
      </w:r>
      <w:r>
        <w:rPr>
          <w:rFonts w:ascii="Arial" w:hAnsi="Arial" w:cs="Arial"/>
          <w:sz w:val="28"/>
          <w:szCs w:val="28"/>
        </w:rPr>
        <w:t>ENTERPRISES</w:t>
      </w:r>
      <w:r w:rsidRPr="00ED4D30">
        <w:rPr>
          <w:rFonts w:ascii="Arial" w:hAnsi="Arial" w:cs="Arial"/>
          <w:sz w:val="28"/>
          <w:szCs w:val="28"/>
          <w:lang w:val="el-GR"/>
        </w:rPr>
        <w:t xml:space="preserve"> </w:t>
      </w:r>
      <w:r>
        <w:rPr>
          <w:rFonts w:ascii="Arial" w:hAnsi="Arial" w:cs="Arial"/>
          <w:sz w:val="28"/>
          <w:szCs w:val="28"/>
        </w:rPr>
        <w:t>LTD</w:t>
      </w:r>
    </w:p>
    <w:p w14:paraId="3D16C3D2" w14:textId="36307211" w:rsidR="00AD67B0" w:rsidRPr="00853169" w:rsidRDefault="00AD67B0" w:rsidP="00FD4789">
      <w:pPr>
        <w:spacing w:line="360" w:lineRule="auto"/>
        <w:ind w:left="2070" w:right="237"/>
        <w:jc w:val="right"/>
        <w:rPr>
          <w:rFonts w:ascii="Arial" w:hAnsi="Arial" w:cs="Arial"/>
          <w:sz w:val="28"/>
          <w:szCs w:val="28"/>
          <w:u w:val="single"/>
          <w:lang w:val="el-GR"/>
        </w:rPr>
      </w:pPr>
      <w:proofErr w:type="spellStart"/>
      <w:r w:rsidRPr="00853169">
        <w:rPr>
          <w:rFonts w:ascii="Arial" w:hAnsi="Arial" w:cs="Arial"/>
          <w:sz w:val="28"/>
          <w:szCs w:val="28"/>
          <w:u w:val="single"/>
          <w:lang w:val="el-GR"/>
        </w:rPr>
        <w:t>Εφεσείο</w:t>
      </w:r>
      <w:r w:rsidR="00ED4D30">
        <w:rPr>
          <w:rFonts w:ascii="Arial" w:hAnsi="Arial" w:cs="Arial"/>
          <w:sz w:val="28"/>
          <w:szCs w:val="28"/>
          <w:u w:val="single"/>
          <w:lang w:val="el-GR"/>
        </w:rPr>
        <w:t>ντες</w:t>
      </w:r>
      <w:proofErr w:type="spellEnd"/>
      <w:r w:rsidRPr="00853169">
        <w:rPr>
          <w:rFonts w:ascii="Arial" w:hAnsi="Arial" w:cs="Arial"/>
          <w:sz w:val="28"/>
          <w:szCs w:val="28"/>
          <w:u w:val="single"/>
          <w:lang w:val="el-GR"/>
        </w:rPr>
        <w:t>/</w:t>
      </w:r>
      <w:proofErr w:type="spellStart"/>
      <w:r w:rsidRPr="00853169">
        <w:rPr>
          <w:rFonts w:ascii="Arial" w:hAnsi="Arial" w:cs="Arial"/>
          <w:sz w:val="28"/>
          <w:szCs w:val="28"/>
          <w:u w:val="single"/>
          <w:lang w:val="el-GR"/>
        </w:rPr>
        <w:t>Αιτ</w:t>
      </w:r>
      <w:r w:rsidR="00ED4D30">
        <w:rPr>
          <w:rFonts w:ascii="Arial" w:hAnsi="Arial" w:cs="Arial"/>
          <w:sz w:val="28"/>
          <w:szCs w:val="28"/>
          <w:u w:val="single"/>
          <w:lang w:val="el-GR"/>
        </w:rPr>
        <w:t>ητές</w:t>
      </w:r>
      <w:proofErr w:type="spellEnd"/>
    </w:p>
    <w:p w14:paraId="2D6329A7" w14:textId="6190E69A" w:rsidR="00AD67B0" w:rsidRPr="00853169" w:rsidRDefault="00AD67B0" w:rsidP="00FD4789">
      <w:pPr>
        <w:spacing w:line="360" w:lineRule="auto"/>
        <w:ind w:left="2880" w:right="237" w:firstLine="720"/>
        <w:rPr>
          <w:rFonts w:ascii="Arial" w:hAnsi="Arial" w:cs="Arial"/>
          <w:sz w:val="28"/>
          <w:szCs w:val="28"/>
          <w:lang w:val="el-GR"/>
        </w:rPr>
      </w:pPr>
      <w:r w:rsidRPr="00853169">
        <w:rPr>
          <w:rFonts w:ascii="Arial" w:hAnsi="Arial" w:cs="Arial"/>
          <w:sz w:val="28"/>
          <w:szCs w:val="28"/>
          <w:lang w:val="el-GR"/>
        </w:rPr>
        <w:t>και</w:t>
      </w:r>
    </w:p>
    <w:p w14:paraId="3940C603" w14:textId="77777777" w:rsidR="00ED4D30" w:rsidRDefault="00EB699B" w:rsidP="00FD4789">
      <w:pPr>
        <w:spacing w:line="360" w:lineRule="auto"/>
        <w:ind w:left="1058" w:right="237"/>
        <w:jc w:val="both"/>
        <w:rPr>
          <w:rFonts w:ascii="Arial" w:hAnsi="Arial" w:cs="Arial"/>
          <w:sz w:val="28"/>
          <w:szCs w:val="28"/>
          <w:lang w:val="el-GR"/>
        </w:rPr>
      </w:pPr>
      <w:r w:rsidRPr="00ED4D30">
        <w:rPr>
          <w:rFonts w:ascii="Arial" w:hAnsi="Arial" w:cs="Arial"/>
          <w:sz w:val="28"/>
          <w:szCs w:val="28"/>
          <w:lang w:val="el-GR"/>
        </w:rPr>
        <w:t>ΚΥΠΡΙΑΚΗΣ ΔΗΜΟΚΡΑΤΙΑΣ ΜΕΣΩ ΤΟΥ ΥΠΟΥΡΓ</w:t>
      </w:r>
      <w:r w:rsidR="00ED4D30">
        <w:rPr>
          <w:rFonts w:ascii="Arial" w:hAnsi="Arial" w:cs="Arial"/>
          <w:sz w:val="28"/>
          <w:szCs w:val="28"/>
          <w:lang w:val="el-GR"/>
        </w:rPr>
        <w:t>ΕΙΟΥ ΕΣΩΤΕΡΙΚΩΝ – ΤΜΗΜΑ ΚΤΗΜΑΤΟΛΟΓΙΟΥ ΚΑΙ ΧΩΡΟΤΑΞΙΑΣ</w:t>
      </w:r>
    </w:p>
    <w:p w14:paraId="3A8802AA" w14:textId="77D0D10A" w:rsidR="00AD67B0" w:rsidRPr="00853169" w:rsidRDefault="00AD67B0" w:rsidP="00FD4789">
      <w:pPr>
        <w:spacing w:line="360" w:lineRule="auto"/>
        <w:ind w:left="3960" w:right="237" w:firstLine="360"/>
        <w:jc w:val="right"/>
        <w:rPr>
          <w:rFonts w:ascii="Arial" w:hAnsi="Arial" w:cs="Arial"/>
          <w:i/>
          <w:iCs/>
          <w:sz w:val="28"/>
          <w:szCs w:val="28"/>
          <w:u w:val="single"/>
          <w:lang w:val="el-GR"/>
        </w:rPr>
      </w:pPr>
      <w:r w:rsidRPr="00853169">
        <w:rPr>
          <w:rFonts w:ascii="Arial" w:hAnsi="Arial" w:cs="Arial"/>
          <w:i/>
          <w:iCs/>
          <w:sz w:val="28"/>
          <w:szCs w:val="28"/>
          <w:u w:val="single"/>
          <w:lang w:val="el-GR"/>
        </w:rPr>
        <w:t>Εφεσ</w:t>
      </w:r>
      <w:r w:rsidR="00B46EA9" w:rsidRPr="00853169">
        <w:rPr>
          <w:rFonts w:ascii="Arial" w:hAnsi="Arial" w:cs="Arial"/>
          <w:i/>
          <w:iCs/>
          <w:sz w:val="28"/>
          <w:szCs w:val="28"/>
          <w:u w:val="single"/>
          <w:lang w:val="el-GR"/>
        </w:rPr>
        <w:t>ί</w:t>
      </w:r>
      <w:r w:rsidRPr="00853169">
        <w:rPr>
          <w:rFonts w:ascii="Arial" w:hAnsi="Arial" w:cs="Arial"/>
          <w:i/>
          <w:iCs/>
          <w:sz w:val="28"/>
          <w:szCs w:val="28"/>
          <w:u w:val="single"/>
          <w:lang w:val="el-GR"/>
        </w:rPr>
        <w:t>βλ</w:t>
      </w:r>
      <w:r w:rsidR="00B46EA9" w:rsidRPr="00853169">
        <w:rPr>
          <w:rFonts w:ascii="Arial" w:hAnsi="Arial" w:cs="Arial"/>
          <w:i/>
          <w:iCs/>
          <w:sz w:val="28"/>
          <w:szCs w:val="28"/>
          <w:u w:val="single"/>
          <w:lang w:val="el-GR"/>
        </w:rPr>
        <w:t>η</w:t>
      </w:r>
      <w:r w:rsidRPr="00853169">
        <w:rPr>
          <w:rFonts w:ascii="Arial" w:hAnsi="Arial" w:cs="Arial"/>
          <w:i/>
          <w:iCs/>
          <w:sz w:val="28"/>
          <w:szCs w:val="28"/>
          <w:u w:val="single"/>
          <w:lang w:val="el-GR"/>
        </w:rPr>
        <w:t>τ</w:t>
      </w:r>
      <w:r w:rsidR="00CF423D">
        <w:rPr>
          <w:rFonts w:ascii="Arial" w:hAnsi="Arial" w:cs="Arial"/>
          <w:i/>
          <w:iCs/>
          <w:sz w:val="28"/>
          <w:szCs w:val="28"/>
          <w:u w:val="single"/>
          <w:lang w:val="el-GR"/>
        </w:rPr>
        <w:t>η</w:t>
      </w:r>
      <w:r w:rsidRPr="00853169">
        <w:rPr>
          <w:rFonts w:ascii="Arial" w:hAnsi="Arial" w:cs="Arial"/>
          <w:i/>
          <w:iCs/>
          <w:sz w:val="28"/>
          <w:szCs w:val="28"/>
          <w:u w:val="single"/>
          <w:lang w:val="el-GR"/>
        </w:rPr>
        <w:t xml:space="preserve"> /Καθ’ </w:t>
      </w:r>
      <w:r w:rsidR="00CF423D">
        <w:rPr>
          <w:rFonts w:ascii="Arial" w:hAnsi="Arial" w:cs="Arial"/>
          <w:i/>
          <w:iCs/>
          <w:sz w:val="28"/>
          <w:szCs w:val="28"/>
          <w:u w:val="single"/>
          <w:lang w:val="el-GR"/>
        </w:rPr>
        <w:t>ης</w:t>
      </w:r>
      <w:r w:rsidRPr="00853169">
        <w:rPr>
          <w:rFonts w:ascii="Arial" w:hAnsi="Arial" w:cs="Arial"/>
          <w:i/>
          <w:iCs/>
          <w:sz w:val="28"/>
          <w:szCs w:val="28"/>
          <w:u w:val="single"/>
          <w:lang w:val="el-GR"/>
        </w:rPr>
        <w:t xml:space="preserve"> η Αίτηση </w:t>
      </w:r>
    </w:p>
    <w:p w14:paraId="438FB128" w14:textId="405C63F9" w:rsidR="00B46EA9" w:rsidRPr="00853169" w:rsidRDefault="00EB699B" w:rsidP="00FD4789">
      <w:pPr>
        <w:spacing w:line="360" w:lineRule="auto"/>
        <w:ind w:right="237" w:firstLine="360"/>
        <w:rPr>
          <w:rFonts w:ascii="Arial" w:hAnsi="Arial" w:cs="Arial"/>
          <w:b/>
          <w:bCs/>
          <w:sz w:val="28"/>
          <w:szCs w:val="28"/>
          <w:lang w:val="el-GR"/>
        </w:rPr>
      </w:pPr>
      <w:r w:rsidRPr="00853169">
        <w:rPr>
          <w:rFonts w:ascii="Arial" w:hAnsi="Arial" w:cs="Arial"/>
          <w:b/>
          <w:bCs/>
          <w:sz w:val="28"/>
          <w:szCs w:val="28"/>
          <w:lang w:val="el-GR"/>
        </w:rPr>
        <w:tab/>
      </w:r>
      <w:r w:rsidRPr="00853169">
        <w:rPr>
          <w:rFonts w:ascii="Arial" w:hAnsi="Arial" w:cs="Arial"/>
          <w:b/>
          <w:bCs/>
          <w:sz w:val="28"/>
          <w:szCs w:val="28"/>
          <w:lang w:val="el-GR"/>
        </w:rPr>
        <w:tab/>
      </w:r>
      <w:r w:rsidRPr="00853169">
        <w:rPr>
          <w:rFonts w:ascii="Arial" w:hAnsi="Arial" w:cs="Arial"/>
          <w:b/>
          <w:bCs/>
          <w:sz w:val="28"/>
          <w:szCs w:val="28"/>
          <w:lang w:val="el-GR"/>
        </w:rPr>
        <w:tab/>
      </w:r>
      <w:r w:rsidRPr="00853169">
        <w:rPr>
          <w:rFonts w:ascii="Arial" w:hAnsi="Arial" w:cs="Arial"/>
          <w:b/>
          <w:bCs/>
          <w:sz w:val="28"/>
          <w:szCs w:val="28"/>
          <w:lang w:val="el-GR"/>
        </w:rPr>
        <w:tab/>
      </w:r>
    </w:p>
    <w:p w14:paraId="072BA96F" w14:textId="49637922" w:rsidR="00EB699B" w:rsidRPr="00853169" w:rsidRDefault="00EB699B" w:rsidP="00FD4789">
      <w:pPr>
        <w:spacing w:line="360" w:lineRule="auto"/>
        <w:ind w:right="237" w:firstLine="360"/>
        <w:rPr>
          <w:rFonts w:ascii="Arial" w:hAnsi="Arial" w:cs="Arial"/>
          <w:b/>
          <w:bCs/>
          <w:sz w:val="28"/>
          <w:szCs w:val="28"/>
          <w:lang w:val="el-GR"/>
        </w:rPr>
      </w:pPr>
      <w:r w:rsidRPr="00853169">
        <w:rPr>
          <w:rFonts w:ascii="Arial" w:hAnsi="Arial" w:cs="Arial"/>
          <w:b/>
          <w:bCs/>
          <w:sz w:val="28"/>
          <w:szCs w:val="28"/>
          <w:lang w:val="el-GR"/>
        </w:rPr>
        <w:tab/>
      </w:r>
      <w:r w:rsidRPr="00853169">
        <w:rPr>
          <w:rFonts w:ascii="Arial" w:hAnsi="Arial" w:cs="Arial"/>
          <w:b/>
          <w:bCs/>
          <w:sz w:val="28"/>
          <w:szCs w:val="28"/>
          <w:lang w:val="el-GR"/>
        </w:rPr>
        <w:tab/>
      </w:r>
      <w:r w:rsidRPr="00853169">
        <w:rPr>
          <w:rFonts w:ascii="Arial" w:hAnsi="Arial" w:cs="Arial"/>
          <w:b/>
          <w:bCs/>
          <w:sz w:val="28"/>
          <w:szCs w:val="28"/>
          <w:lang w:val="el-GR"/>
        </w:rPr>
        <w:tab/>
      </w:r>
      <w:r w:rsidRPr="00853169">
        <w:rPr>
          <w:rFonts w:ascii="Arial" w:hAnsi="Arial" w:cs="Arial"/>
          <w:b/>
          <w:bCs/>
          <w:sz w:val="28"/>
          <w:szCs w:val="28"/>
          <w:lang w:val="el-GR"/>
        </w:rPr>
        <w:tab/>
      </w:r>
      <w:r w:rsidRPr="00853169">
        <w:rPr>
          <w:rFonts w:ascii="Arial" w:hAnsi="Arial" w:cs="Arial"/>
          <w:b/>
          <w:bCs/>
          <w:sz w:val="28"/>
          <w:szCs w:val="28"/>
          <w:lang w:val="el-GR"/>
        </w:rPr>
        <w:tab/>
      </w:r>
      <w:r w:rsidRPr="00853169">
        <w:rPr>
          <w:rFonts w:ascii="Arial" w:hAnsi="Arial" w:cs="Arial"/>
          <w:b/>
          <w:bCs/>
          <w:sz w:val="28"/>
          <w:szCs w:val="28"/>
          <w:lang w:val="el-GR"/>
        </w:rPr>
        <w:tab/>
        <w:t>------------</w:t>
      </w:r>
    </w:p>
    <w:p w14:paraId="1E82760F" w14:textId="5154C23A" w:rsidR="00A66F04" w:rsidRPr="00853169" w:rsidRDefault="00A431AD" w:rsidP="00FD4789">
      <w:pPr>
        <w:ind w:right="237"/>
        <w:jc w:val="both"/>
        <w:rPr>
          <w:rFonts w:ascii="Arial" w:hAnsi="Arial" w:cs="Arial"/>
          <w:iCs/>
          <w:sz w:val="28"/>
          <w:szCs w:val="28"/>
          <w:lang w:val="el-GR"/>
        </w:rPr>
      </w:pPr>
      <w:proofErr w:type="spellStart"/>
      <w:r>
        <w:rPr>
          <w:rFonts w:ascii="Arial" w:hAnsi="Arial" w:cs="Arial"/>
          <w:i/>
          <w:iCs/>
          <w:sz w:val="28"/>
          <w:szCs w:val="28"/>
          <w:lang w:val="el-GR"/>
        </w:rPr>
        <w:t>Ελ.Αντωνιάδου</w:t>
      </w:r>
      <w:proofErr w:type="spellEnd"/>
      <w:r>
        <w:rPr>
          <w:rFonts w:ascii="Arial" w:hAnsi="Arial" w:cs="Arial"/>
          <w:i/>
          <w:iCs/>
          <w:sz w:val="28"/>
          <w:szCs w:val="28"/>
          <w:lang w:val="el-GR"/>
        </w:rPr>
        <w:t xml:space="preserve">, (κα), </w:t>
      </w:r>
      <w:r>
        <w:rPr>
          <w:rFonts w:ascii="Arial" w:hAnsi="Arial" w:cs="Arial"/>
          <w:sz w:val="28"/>
          <w:szCs w:val="28"/>
          <w:lang w:val="el-GR"/>
        </w:rPr>
        <w:t xml:space="preserve">για </w:t>
      </w:r>
      <w:proofErr w:type="spellStart"/>
      <w:r>
        <w:rPr>
          <w:rFonts w:ascii="Arial" w:hAnsi="Arial" w:cs="Arial"/>
          <w:sz w:val="28"/>
          <w:szCs w:val="28"/>
          <w:lang w:val="el-GR"/>
        </w:rPr>
        <w:t>Α.Καριτζή</w:t>
      </w:r>
      <w:r w:rsidR="00CF423D">
        <w:rPr>
          <w:rFonts w:ascii="Arial" w:hAnsi="Arial" w:cs="Arial"/>
          <w:sz w:val="28"/>
          <w:szCs w:val="28"/>
          <w:lang w:val="el-GR"/>
        </w:rPr>
        <w:t>ς</w:t>
      </w:r>
      <w:proofErr w:type="spellEnd"/>
      <w:r>
        <w:rPr>
          <w:rFonts w:ascii="Arial" w:hAnsi="Arial" w:cs="Arial"/>
          <w:sz w:val="28"/>
          <w:szCs w:val="28"/>
          <w:lang w:val="el-GR"/>
        </w:rPr>
        <w:t xml:space="preserve"> &amp; Σ/τες ΔΕΠΕ,</w:t>
      </w:r>
      <w:r w:rsidR="00A66F04" w:rsidRPr="00853169">
        <w:rPr>
          <w:rFonts w:ascii="Arial" w:hAnsi="Arial" w:cs="Arial"/>
          <w:iCs/>
          <w:sz w:val="28"/>
          <w:szCs w:val="28"/>
          <w:lang w:val="el-GR"/>
        </w:rPr>
        <w:t xml:space="preserve"> </w:t>
      </w:r>
      <w:r w:rsidR="00ED4D30">
        <w:rPr>
          <w:rFonts w:ascii="Arial" w:hAnsi="Arial" w:cs="Arial"/>
          <w:iCs/>
          <w:sz w:val="28"/>
          <w:szCs w:val="28"/>
          <w:lang w:val="el-GR"/>
        </w:rPr>
        <w:t xml:space="preserve">για τους </w:t>
      </w:r>
      <w:proofErr w:type="spellStart"/>
      <w:r w:rsidR="00A66F04" w:rsidRPr="00853169">
        <w:rPr>
          <w:rFonts w:ascii="Arial" w:hAnsi="Arial" w:cs="Arial"/>
          <w:iCs/>
          <w:sz w:val="28"/>
          <w:szCs w:val="28"/>
          <w:lang w:val="el-GR"/>
        </w:rPr>
        <w:t>Εφεσεί</w:t>
      </w:r>
      <w:r w:rsidR="00757CE1" w:rsidRPr="00853169">
        <w:rPr>
          <w:rFonts w:ascii="Arial" w:hAnsi="Arial" w:cs="Arial"/>
          <w:iCs/>
          <w:sz w:val="28"/>
          <w:szCs w:val="28"/>
          <w:lang w:val="el-GR"/>
        </w:rPr>
        <w:t>ο</w:t>
      </w:r>
      <w:r w:rsidR="00ED4D30">
        <w:rPr>
          <w:rFonts w:ascii="Arial" w:hAnsi="Arial" w:cs="Arial"/>
          <w:iCs/>
          <w:sz w:val="28"/>
          <w:szCs w:val="28"/>
          <w:lang w:val="el-GR"/>
        </w:rPr>
        <w:t>ντες</w:t>
      </w:r>
      <w:proofErr w:type="spellEnd"/>
    </w:p>
    <w:p w14:paraId="185B346C" w14:textId="635256BB" w:rsidR="00757CE1" w:rsidRPr="00853169" w:rsidRDefault="00A431AD" w:rsidP="00FD4789">
      <w:pPr>
        <w:ind w:right="237"/>
        <w:jc w:val="both"/>
        <w:rPr>
          <w:rFonts w:ascii="Arial" w:hAnsi="Arial" w:cs="Arial"/>
          <w:sz w:val="28"/>
          <w:szCs w:val="28"/>
          <w:lang w:val="el-GR"/>
        </w:rPr>
      </w:pPr>
      <w:proofErr w:type="spellStart"/>
      <w:r>
        <w:rPr>
          <w:rFonts w:ascii="Arial" w:hAnsi="Arial" w:cs="Arial"/>
          <w:i/>
          <w:iCs/>
          <w:sz w:val="28"/>
          <w:szCs w:val="28"/>
          <w:lang w:val="el-GR"/>
        </w:rPr>
        <w:t>Π.Κωνσταντίνου</w:t>
      </w:r>
      <w:proofErr w:type="spellEnd"/>
      <w:r>
        <w:rPr>
          <w:rFonts w:ascii="Arial" w:hAnsi="Arial" w:cs="Arial"/>
          <w:i/>
          <w:iCs/>
          <w:sz w:val="28"/>
          <w:szCs w:val="28"/>
          <w:lang w:val="el-GR"/>
        </w:rPr>
        <w:t xml:space="preserve">, </w:t>
      </w:r>
      <w:r w:rsidR="00757CE1" w:rsidRPr="00853169">
        <w:rPr>
          <w:rFonts w:ascii="Arial" w:hAnsi="Arial" w:cs="Arial"/>
          <w:sz w:val="28"/>
          <w:szCs w:val="28"/>
          <w:lang w:val="el-GR"/>
        </w:rPr>
        <w:t xml:space="preserve">εκ μέρους του Γενικού Εισαγγελέα της Δημοκρατίας, για </w:t>
      </w:r>
      <w:r w:rsidR="00723D59">
        <w:rPr>
          <w:rFonts w:ascii="Arial" w:hAnsi="Arial" w:cs="Arial"/>
          <w:sz w:val="28"/>
          <w:szCs w:val="28"/>
          <w:lang w:val="el-GR"/>
        </w:rPr>
        <w:t xml:space="preserve">την </w:t>
      </w:r>
      <w:r w:rsidR="00757CE1" w:rsidRPr="00853169">
        <w:rPr>
          <w:rFonts w:ascii="Arial" w:hAnsi="Arial" w:cs="Arial"/>
          <w:sz w:val="28"/>
          <w:szCs w:val="28"/>
          <w:lang w:val="el-GR"/>
        </w:rPr>
        <w:t>Εφεσίβλητ</w:t>
      </w:r>
      <w:r w:rsidR="00723D59">
        <w:rPr>
          <w:rFonts w:ascii="Arial" w:hAnsi="Arial" w:cs="Arial"/>
          <w:sz w:val="28"/>
          <w:szCs w:val="28"/>
          <w:lang w:val="el-GR"/>
        </w:rPr>
        <w:t>η</w:t>
      </w:r>
    </w:p>
    <w:p w14:paraId="78BA92E3" w14:textId="77777777" w:rsidR="00A66F04" w:rsidRPr="00853169" w:rsidRDefault="00A66F04" w:rsidP="00FD4789">
      <w:pPr>
        <w:ind w:right="237"/>
        <w:rPr>
          <w:rFonts w:ascii="Arial" w:hAnsi="Arial" w:cs="Arial"/>
          <w:i/>
          <w:iCs/>
          <w:sz w:val="28"/>
          <w:szCs w:val="28"/>
          <w:lang w:val="el-GR"/>
        </w:rPr>
      </w:pPr>
      <w:r w:rsidRPr="00853169">
        <w:rPr>
          <w:rFonts w:ascii="Arial" w:hAnsi="Arial" w:cs="Arial"/>
          <w:i/>
          <w:iCs/>
          <w:sz w:val="28"/>
          <w:szCs w:val="28"/>
          <w:lang w:val="el-GR"/>
        </w:rPr>
        <w:tab/>
      </w:r>
      <w:r w:rsidRPr="00853169">
        <w:rPr>
          <w:rFonts w:ascii="Arial" w:hAnsi="Arial" w:cs="Arial"/>
          <w:i/>
          <w:iCs/>
          <w:sz w:val="28"/>
          <w:szCs w:val="28"/>
          <w:lang w:val="el-GR"/>
        </w:rPr>
        <w:tab/>
      </w:r>
      <w:r w:rsidRPr="00853169">
        <w:rPr>
          <w:rFonts w:ascii="Arial" w:hAnsi="Arial" w:cs="Arial"/>
          <w:i/>
          <w:iCs/>
          <w:sz w:val="28"/>
          <w:szCs w:val="28"/>
          <w:lang w:val="el-GR"/>
        </w:rPr>
        <w:tab/>
        <w:t xml:space="preserve">   </w:t>
      </w:r>
    </w:p>
    <w:p w14:paraId="28A1F3FF" w14:textId="77777777" w:rsidR="00A66F04" w:rsidRPr="00853169" w:rsidRDefault="00A66F04" w:rsidP="00FD4789">
      <w:pPr>
        <w:ind w:right="237"/>
        <w:jc w:val="center"/>
        <w:rPr>
          <w:rFonts w:ascii="Arial" w:hAnsi="Arial" w:cs="Arial"/>
          <w:i/>
          <w:iCs/>
          <w:sz w:val="28"/>
          <w:szCs w:val="28"/>
          <w:lang w:val="el-GR"/>
        </w:rPr>
      </w:pPr>
      <w:r w:rsidRPr="00853169">
        <w:rPr>
          <w:rFonts w:ascii="Arial" w:hAnsi="Arial" w:cs="Arial"/>
          <w:i/>
          <w:iCs/>
          <w:sz w:val="28"/>
          <w:szCs w:val="28"/>
          <w:lang w:val="el-GR"/>
        </w:rPr>
        <w:t>--------------------</w:t>
      </w:r>
    </w:p>
    <w:p w14:paraId="681A35E8" w14:textId="77777777" w:rsidR="00A66F04" w:rsidRPr="00853169" w:rsidRDefault="00A66F04" w:rsidP="00FD4789">
      <w:pPr>
        <w:spacing w:line="276" w:lineRule="auto"/>
        <w:ind w:right="237"/>
        <w:jc w:val="both"/>
        <w:rPr>
          <w:rFonts w:ascii="Arial" w:hAnsi="Arial" w:cs="Arial"/>
          <w:b/>
          <w:bCs/>
          <w:sz w:val="28"/>
          <w:szCs w:val="28"/>
          <w:lang w:val="el-GR"/>
        </w:rPr>
      </w:pPr>
    </w:p>
    <w:p w14:paraId="5092EEEE" w14:textId="315AF730" w:rsidR="00A66F04" w:rsidRPr="00853169" w:rsidRDefault="00A66F04" w:rsidP="00FD4789">
      <w:pPr>
        <w:spacing w:line="276" w:lineRule="auto"/>
        <w:ind w:right="237"/>
        <w:jc w:val="center"/>
        <w:rPr>
          <w:rFonts w:ascii="Arial" w:hAnsi="Arial" w:cs="Arial"/>
          <w:sz w:val="28"/>
          <w:szCs w:val="28"/>
          <w:lang w:val="el-GR"/>
        </w:rPr>
      </w:pPr>
      <w:r w:rsidRPr="00853169">
        <w:rPr>
          <w:rFonts w:ascii="Arial" w:hAnsi="Arial" w:cs="Arial"/>
          <w:b/>
          <w:bCs/>
          <w:sz w:val="28"/>
          <w:szCs w:val="28"/>
          <w:lang w:val="el-GR"/>
        </w:rPr>
        <w:t xml:space="preserve">ΔΙΚΑΣΤΗΡΙΟ:  </w:t>
      </w:r>
      <w:r w:rsidRPr="00853169">
        <w:rPr>
          <w:rFonts w:ascii="Arial" w:hAnsi="Arial" w:cs="Arial"/>
          <w:sz w:val="28"/>
          <w:szCs w:val="28"/>
          <w:lang w:val="el-GR"/>
        </w:rPr>
        <w:t xml:space="preserve">Η ομόφωνη απόφαση του Δικαστηρίου θα δοθεί από τη Δικαστή Τ. Ψαρά – </w:t>
      </w:r>
      <w:proofErr w:type="spellStart"/>
      <w:r w:rsidRPr="00853169">
        <w:rPr>
          <w:rFonts w:ascii="Arial" w:hAnsi="Arial" w:cs="Arial"/>
          <w:sz w:val="28"/>
          <w:szCs w:val="28"/>
          <w:lang w:val="el-GR"/>
        </w:rPr>
        <w:t>Μιλτιάδου</w:t>
      </w:r>
      <w:proofErr w:type="spellEnd"/>
      <w:r w:rsidRPr="00853169">
        <w:rPr>
          <w:rFonts w:ascii="Arial" w:hAnsi="Arial" w:cs="Arial"/>
          <w:sz w:val="28"/>
          <w:szCs w:val="28"/>
          <w:lang w:val="el-GR"/>
        </w:rPr>
        <w:t>.</w:t>
      </w:r>
    </w:p>
    <w:p w14:paraId="2FE4FEA6" w14:textId="77777777" w:rsidR="00A66F04" w:rsidRPr="00853169" w:rsidRDefault="00A66F04" w:rsidP="00FD4789">
      <w:pPr>
        <w:spacing w:line="276" w:lineRule="auto"/>
        <w:ind w:right="237"/>
        <w:jc w:val="center"/>
        <w:rPr>
          <w:rFonts w:ascii="Arial" w:hAnsi="Arial" w:cs="Arial"/>
          <w:sz w:val="28"/>
          <w:szCs w:val="28"/>
          <w:lang w:val="el-GR"/>
        </w:rPr>
      </w:pPr>
    </w:p>
    <w:p w14:paraId="7F09E624" w14:textId="77777777" w:rsidR="00A66F04" w:rsidRPr="00853169" w:rsidRDefault="00A66F04" w:rsidP="00FD4789">
      <w:pPr>
        <w:spacing w:line="276" w:lineRule="auto"/>
        <w:ind w:right="237"/>
        <w:jc w:val="center"/>
        <w:rPr>
          <w:rFonts w:ascii="Arial" w:hAnsi="Arial" w:cs="Arial"/>
          <w:b/>
          <w:bCs/>
          <w:sz w:val="28"/>
          <w:szCs w:val="28"/>
          <w:lang w:val="el-GR"/>
        </w:rPr>
      </w:pPr>
    </w:p>
    <w:p w14:paraId="39CEE9FD" w14:textId="77777777" w:rsidR="00A66F04" w:rsidRPr="00861C01" w:rsidRDefault="00A66F04" w:rsidP="00FD4789">
      <w:pPr>
        <w:spacing w:line="276" w:lineRule="auto"/>
        <w:ind w:right="237"/>
        <w:jc w:val="center"/>
        <w:rPr>
          <w:rFonts w:ascii="Arial" w:hAnsi="Arial" w:cs="Arial"/>
          <w:b/>
          <w:bCs/>
          <w:sz w:val="28"/>
          <w:szCs w:val="28"/>
          <w:u w:val="single"/>
          <w:lang w:val="el-GR"/>
        </w:rPr>
      </w:pPr>
      <w:r w:rsidRPr="00861C01">
        <w:rPr>
          <w:rFonts w:ascii="Arial" w:hAnsi="Arial" w:cs="Arial"/>
          <w:b/>
          <w:bCs/>
          <w:sz w:val="28"/>
          <w:szCs w:val="28"/>
          <w:u w:val="single"/>
          <w:lang w:val="el-GR"/>
        </w:rPr>
        <w:lastRenderedPageBreak/>
        <w:t>Α Π Ο Φ Α Σ Η</w:t>
      </w:r>
    </w:p>
    <w:p w14:paraId="51F372F0" w14:textId="77777777" w:rsidR="00A66F04" w:rsidRPr="00853169" w:rsidRDefault="00A66F04" w:rsidP="00FD4789">
      <w:pPr>
        <w:spacing w:line="276" w:lineRule="auto"/>
        <w:ind w:right="237"/>
        <w:jc w:val="center"/>
        <w:rPr>
          <w:rFonts w:ascii="Arial" w:hAnsi="Arial" w:cs="Arial"/>
          <w:b/>
          <w:bCs/>
          <w:sz w:val="28"/>
          <w:szCs w:val="28"/>
          <w:lang w:val="el-GR"/>
        </w:rPr>
      </w:pPr>
    </w:p>
    <w:p w14:paraId="1CA8C4E4" w14:textId="77777777" w:rsidR="00A66F04" w:rsidRPr="00853169" w:rsidRDefault="00A66F04" w:rsidP="00FD4789">
      <w:pPr>
        <w:spacing w:line="276" w:lineRule="auto"/>
        <w:ind w:right="237"/>
        <w:jc w:val="center"/>
        <w:rPr>
          <w:rFonts w:ascii="Arial" w:hAnsi="Arial" w:cs="Arial"/>
          <w:b/>
          <w:bCs/>
          <w:sz w:val="28"/>
          <w:szCs w:val="28"/>
          <w:lang w:val="el-GR"/>
        </w:rPr>
      </w:pPr>
    </w:p>
    <w:p w14:paraId="05DCB29B" w14:textId="4CEDF55C" w:rsidR="00ED4D30" w:rsidRDefault="00A66F04" w:rsidP="00FD4789">
      <w:pPr>
        <w:spacing w:line="480" w:lineRule="auto"/>
        <w:ind w:right="237"/>
        <w:jc w:val="both"/>
        <w:rPr>
          <w:rFonts w:ascii="Arial" w:hAnsi="Arial" w:cs="Arial"/>
          <w:sz w:val="28"/>
          <w:szCs w:val="28"/>
          <w:lang w:val="el-GR"/>
        </w:rPr>
      </w:pPr>
      <w:r w:rsidRPr="00853169">
        <w:rPr>
          <w:rFonts w:ascii="Arial" w:hAnsi="Arial" w:cs="Arial"/>
          <w:b/>
          <w:bCs/>
          <w:sz w:val="28"/>
          <w:szCs w:val="28"/>
          <w:lang w:val="el-GR"/>
        </w:rPr>
        <w:t>ΨΑΡΑ-ΜΙΛΤΙΑΔΟΥ, Δ.:</w:t>
      </w:r>
      <w:r w:rsidRPr="00853169">
        <w:rPr>
          <w:rFonts w:ascii="Arial" w:hAnsi="Arial" w:cs="Arial"/>
          <w:b/>
          <w:bCs/>
          <w:sz w:val="28"/>
          <w:szCs w:val="28"/>
          <w:lang w:val="el-GR"/>
        </w:rPr>
        <w:tab/>
      </w:r>
      <w:r w:rsidR="00ED4D30">
        <w:rPr>
          <w:rFonts w:ascii="Arial" w:hAnsi="Arial" w:cs="Arial"/>
          <w:sz w:val="28"/>
          <w:szCs w:val="28"/>
          <w:lang w:val="el-GR"/>
        </w:rPr>
        <w:t xml:space="preserve">Με την προσφυγή τους, πρωτοδίκως οι </w:t>
      </w:r>
      <w:proofErr w:type="spellStart"/>
      <w:r w:rsidR="00ED4D30">
        <w:rPr>
          <w:rFonts w:ascii="Arial" w:hAnsi="Arial" w:cs="Arial"/>
          <w:sz w:val="28"/>
          <w:szCs w:val="28"/>
          <w:lang w:val="el-GR"/>
        </w:rPr>
        <w:t>Εφεσείοντες-Αιτητές</w:t>
      </w:r>
      <w:proofErr w:type="spellEnd"/>
      <w:r w:rsidR="00ED4D30">
        <w:rPr>
          <w:rFonts w:ascii="Arial" w:hAnsi="Arial" w:cs="Arial"/>
          <w:sz w:val="28"/>
          <w:szCs w:val="28"/>
          <w:lang w:val="el-GR"/>
        </w:rPr>
        <w:t xml:space="preserve"> </w:t>
      </w:r>
      <w:proofErr w:type="spellStart"/>
      <w:r w:rsidR="00ED4D30">
        <w:rPr>
          <w:rFonts w:ascii="Arial" w:hAnsi="Arial" w:cs="Arial"/>
          <w:sz w:val="28"/>
          <w:szCs w:val="28"/>
          <w:lang w:val="el-GR"/>
        </w:rPr>
        <w:t>προσέβαλαν</w:t>
      </w:r>
      <w:proofErr w:type="spellEnd"/>
      <w:r w:rsidR="00ED4D30">
        <w:rPr>
          <w:rFonts w:ascii="Arial" w:hAnsi="Arial" w:cs="Arial"/>
          <w:sz w:val="28"/>
          <w:szCs w:val="28"/>
          <w:lang w:val="el-GR"/>
        </w:rPr>
        <w:t xml:space="preserve"> πράξη της Εφεσίβλητης κατά το Φεβρουάριο 2015 δυνάμει της οποίας, κατόπιν επανεξέτασης και/ή εκ νέου μελέτης του φακέλου της υπόθεσης για πώληση, μεταβίβαση και εγγραφή τίτλου ιδιοκτησίας στο όνομα των </w:t>
      </w:r>
      <w:proofErr w:type="spellStart"/>
      <w:r w:rsidR="00ED4D30">
        <w:rPr>
          <w:rFonts w:ascii="Arial" w:hAnsi="Arial" w:cs="Arial"/>
          <w:sz w:val="28"/>
          <w:szCs w:val="28"/>
          <w:lang w:val="el-GR"/>
        </w:rPr>
        <w:t>Εφεσειόντων</w:t>
      </w:r>
      <w:proofErr w:type="spellEnd"/>
      <w:r w:rsidR="00ED4D30">
        <w:rPr>
          <w:rFonts w:ascii="Arial" w:hAnsi="Arial" w:cs="Arial"/>
          <w:sz w:val="28"/>
          <w:szCs w:val="28"/>
          <w:lang w:val="el-GR"/>
        </w:rPr>
        <w:t>, ως περιγράφεται</w:t>
      </w:r>
      <w:r w:rsidR="009B6401">
        <w:rPr>
          <w:rFonts w:ascii="Arial" w:hAnsi="Arial" w:cs="Arial"/>
          <w:sz w:val="28"/>
          <w:szCs w:val="28"/>
          <w:lang w:val="el-GR"/>
        </w:rPr>
        <w:t>,</w:t>
      </w:r>
      <w:r w:rsidR="00ED4D30">
        <w:rPr>
          <w:rFonts w:ascii="Arial" w:hAnsi="Arial" w:cs="Arial"/>
          <w:sz w:val="28"/>
          <w:szCs w:val="28"/>
          <w:lang w:val="el-GR"/>
        </w:rPr>
        <w:t xml:space="preserve"> αποφασίστηκε πως ορθά τους επιβλήθηκε και εισπράχθηκε τέλος ύψους €137.215,00.  Συγκεκριμένα, αποφασίστηκε πως η περίπτωση δεν ενέπιπτε εντός των προνοιών του </w:t>
      </w:r>
      <w:r w:rsidR="00ED4D30" w:rsidRPr="00CF423D">
        <w:rPr>
          <w:rFonts w:ascii="Arial" w:hAnsi="Arial" w:cs="Arial"/>
          <w:b/>
          <w:bCs/>
          <w:i/>
          <w:iCs/>
          <w:sz w:val="28"/>
          <w:szCs w:val="28"/>
          <w:lang w:val="el-GR"/>
        </w:rPr>
        <w:t>΄</w:t>
      </w:r>
      <w:proofErr w:type="spellStart"/>
      <w:r w:rsidR="00ED4D30" w:rsidRPr="00CF423D">
        <w:rPr>
          <w:rFonts w:ascii="Arial" w:hAnsi="Arial" w:cs="Arial"/>
          <w:b/>
          <w:bCs/>
          <w:i/>
          <w:iCs/>
          <w:sz w:val="28"/>
          <w:szCs w:val="28"/>
          <w:lang w:val="el-GR"/>
        </w:rPr>
        <w:t>Αρθρου</w:t>
      </w:r>
      <w:proofErr w:type="spellEnd"/>
      <w:r w:rsidR="00ED4D30" w:rsidRPr="00CF423D">
        <w:rPr>
          <w:rFonts w:ascii="Arial" w:hAnsi="Arial" w:cs="Arial"/>
          <w:b/>
          <w:bCs/>
          <w:i/>
          <w:iCs/>
          <w:sz w:val="28"/>
          <w:szCs w:val="28"/>
          <w:lang w:val="el-GR"/>
        </w:rPr>
        <w:t xml:space="preserve"> 10(2) του</w:t>
      </w:r>
      <w:r w:rsidR="00D416FA" w:rsidRPr="00CF423D">
        <w:rPr>
          <w:rFonts w:ascii="Arial" w:hAnsi="Arial" w:cs="Arial"/>
          <w:b/>
          <w:bCs/>
          <w:i/>
          <w:iCs/>
          <w:sz w:val="28"/>
          <w:szCs w:val="28"/>
          <w:lang w:val="el-GR"/>
        </w:rPr>
        <w:t xml:space="preserve"> Κτηματολογικού και Χωρομετρικού Τμήματος (Τέλη και Δικαιώματα)</w:t>
      </w:r>
      <w:r w:rsidR="00CF423D">
        <w:rPr>
          <w:rFonts w:ascii="Arial" w:hAnsi="Arial" w:cs="Arial"/>
          <w:b/>
          <w:bCs/>
          <w:i/>
          <w:iCs/>
          <w:sz w:val="28"/>
          <w:szCs w:val="28"/>
          <w:lang w:val="el-GR"/>
        </w:rPr>
        <w:t xml:space="preserve"> Νόμου,</w:t>
      </w:r>
      <w:r w:rsidR="00D416FA" w:rsidRPr="00CF423D">
        <w:rPr>
          <w:rFonts w:ascii="Arial" w:hAnsi="Arial" w:cs="Arial"/>
          <w:b/>
          <w:bCs/>
          <w:i/>
          <w:iCs/>
          <w:sz w:val="28"/>
          <w:szCs w:val="28"/>
          <w:lang w:val="el-GR"/>
        </w:rPr>
        <w:t xml:space="preserve"> </w:t>
      </w:r>
      <w:r w:rsidR="00ED4D30" w:rsidRPr="00CF423D">
        <w:rPr>
          <w:rFonts w:ascii="Arial" w:hAnsi="Arial" w:cs="Arial"/>
          <w:b/>
          <w:bCs/>
          <w:i/>
          <w:iCs/>
          <w:sz w:val="28"/>
          <w:szCs w:val="28"/>
          <w:lang w:val="el-GR"/>
        </w:rPr>
        <w:t>Κεφ.219</w:t>
      </w:r>
      <w:r w:rsidR="00ED4D30">
        <w:rPr>
          <w:rFonts w:ascii="Arial" w:hAnsi="Arial" w:cs="Arial"/>
          <w:sz w:val="28"/>
          <w:szCs w:val="28"/>
          <w:lang w:val="el-GR"/>
        </w:rPr>
        <w:t>,</w:t>
      </w:r>
      <w:r w:rsidR="009B6401">
        <w:rPr>
          <w:rFonts w:ascii="Arial" w:hAnsi="Arial" w:cs="Arial"/>
          <w:sz w:val="28"/>
          <w:szCs w:val="28"/>
          <w:lang w:val="el-GR"/>
        </w:rPr>
        <w:t xml:space="preserve"> («ο Νόμος»)</w:t>
      </w:r>
      <w:r w:rsidR="00ED4D30">
        <w:rPr>
          <w:rFonts w:ascii="Arial" w:hAnsi="Arial" w:cs="Arial"/>
          <w:sz w:val="28"/>
          <w:szCs w:val="28"/>
          <w:lang w:val="el-GR"/>
        </w:rPr>
        <w:t xml:space="preserve"> το οποίο προβλέπει μείωση και ή έκπτωση στα τέλη ή δικαιώματα μεταβίβασης και/ή εγγραφής τίτλου ακίνητης ιδιοκτησίας.</w:t>
      </w:r>
    </w:p>
    <w:p w14:paraId="6C8099E3" w14:textId="77777777" w:rsidR="00ED4D30" w:rsidRDefault="00ED4D30" w:rsidP="00FD4789">
      <w:pPr>
        <w:spacing w:line="480" w:lineRule="auto"/>
        <w:ind w:right="237"/>
        <w:jc w:val="both"/>
        <w:rPr>
          <w:rFonts w:ascii="Arial" w:hAnsi="Arial" w:cs="Arial"/>
          <w:sz w:val="28"/>
          <w:szCs w:val="28"/>
          <w:lang w:val="el-GR"/>
        </w:rPr>
      </w:pPr>
    </w:p>
    <w:p w14:paraId="3E024F67" w14:textId="68D61CDF" w:rsidR="00ED4D30" w:rsidRDefault="00ED4D30" w:rsidP="00FD4789">
      <w:pPr>
        <w:spacing w:line="480" w:lineRule="auto"/>
        <w:ind w:right="237"/>
        <w:jc w:val="both"/>
        <w:rPr>
          <w:rFonts w:ascii="Arial" w:hAnsi="Arial" w:cs="Arial"/>
          <w:sz w:val="28"/>
          <w:szCs w:val="28"/>
          <w:lang w:val="el-GR"/>
        </w:rPr>
      </w:pPr>
      <w:r>
        <w:rPr>
          <w:rFonts w:ascii="Arial" w:hAnsi="Arial" w:cs="Arial"/>
          <w:sz w:val="28"/>
          <w:szCs w:val="28"/>
          <w:lang w:val="el-GR"/>
        </w:rPr>
        <w:t xml:space="preserve">Το πρωτόδικο Δικαστήριο θεώρησε ορθή την κρίση του αρμοδίου οργάνου και απέρριψε την προσφυγή.  Το </w:t>
      </w:r>
      <w:r w:rsidRPr="00CF423D">
        <w:rPr>
          <w:rFonts w:ascii="Arial" w:hAnsi="Arial" w:cs="Arial"/>
          <w:b/>
          <w:bCs/>
          <w:i/>
          <w:iCs/>
          <w:sz w:val="28"/>
          <w:szCs w:val="28"/>
          <w:lang w:val="el-GR"/>
        </w:rPr>
        <w:t>΄</w:t>
      </w:r>
      <w:proofErr w:type="spellStart"/>
      <w:r w:rsidRPr="00CF423D">
        <w:rPr>
          <w:rFonts w:ascii="Arial" w:hAnsi="Arial" w:cs="Arial"/>
          <w:b/>
          <w:bCs/>
          <w:i/>
          <w:iCs/>
          <w:sz w:val="28"/>
          <w:szCs w:val="28"/>
          <w:lang w:val="el-GR"/>
        </w:rPr>
        <w:t>Αρθρο</w:t>
      </w:r>
      <w:proofErr w:type="spellEnd"/>
      <w:r w:rsidRPr="00CF423D">
        <w:rPr>
          <w:rFonts w:ascii="Arial" w:hAnsi="Arial" w:cs="Arial"/>
          <w:b/>
          <w:bCs/>
          <w:i/>
          <w:iCs/>
          <w:sz w:val="28"/>
          <w:szCs w:val="28"/>
          <w:lang w:val="el-GR"/>
        </w:rPr>
        <w:t xml:space="preserve"> 10(2) </w:t>
      </w:r>
      <w:r w:rsidRPr="009B6401">
        <w:rPr>
          <w:rFonts w:ascii="Arial" w:hAnsi="Arial" w:cs="Arial"/>
          <w:iCs/>
          <w:sz w:val="28"/>
          <w:szCs w:val="28"/>
          <w:lang w:val="el-GR"/>
        </w:rPr>
        <w:t xml:space="preserve">του </w:t>
      </w:r>
      <w:r w:rsidR="009B6401" w:rsidRPr="009B6401">
        <w:rPr>
          <w:rFonts w:ascii="Arial" w:hAnsi="Arial" w:cs="Arial"/>
          <w:iCs/>
          <w:sz w:val="28"/>
          <w:szCs w:val="28"/>
          <w:lang w:val="el-GR"/>
        </w:rPr>
        <w:t>Νόμου, ως ίσχυε</w:t>
      </w:r>
      <w:r w:rsidR="009B6401">
        <w:rPr>
          <w:rFonts w:ascii="Arial" w:hAnsi="Arial" w:cs="Arial"/>
          <w:b/>
          <w:bCs/>
          <w:i/>
          <w:iCs/>
          <w:sz w:val="28"/>
          <w:szCs w:val="28"/>
          <w:lang w:val="el-GR"/>
        </w:rPr>
        <w:t xml:space="preserve"> </w:t>
      </w:r>
      <w:r w:rsidR="009B6401">
        <w:rPr>
          <w:rFonts w:ascii="Arial" w:hAnsi="Arial" w:cs="Arial"/>
          <w:sz w:val="28"/>
          <w:szCs w:val="28"/>
          <w:lang w:val="el-GR"/>
        </w:rPr>
        <w:t>τον επίδικο χρόνο</w:t>
      </w:r>
      <w:r w:rsidR="00723D59">
        <w:rPr>
          <w:rFonts w:ascii="Arial" w:hAnsi="Arial" w:cs="Arial"/>
          <w:sz w:val="28"/>
          <w:szCs w:val="28"/>
          <w:lang w:val="el-GR"/>
        </w:rPr>
        <w:t>,</w:t>
      </w:r>
      <w:r w:rsidR="009B6401">
        <w:rPr>
          <w:rFonts w:ascii="Arial" w:hAnsi="Arial" w:cs="Arial"/>
          <w:sz w:val="28"/>
          <w:szCs w:val="28"/>
          <w:lang w:val="el-GR"/>
        </w:rPr>
        <w:t xml:space="preserve"> είχε </w:t>
      </w:r>
      <w:r>
        <w:rPr>
          <w:rFonts w:ascii="Arial" w:hAnsi="Arial" w:cs="Arial"/>
          <w:sz w:val="28"/>
          <w:szCs w:val="28"/>
          <w:lang w:val="el-GR"/>
        </w:rPr>
        <w:t>ως εξής:</w:t>
      </w:r>
    </w:p>
    <w:p w14:paraId="47E6219F" w14:textId="5C5BD710" w:rsidR="00D416FA" w:rsidRPr="009D1B7F" w:rsidRDefault="00D416FA" w:rsidP="00FD4789">
      <w:pPr>
        <w:ind w:left="567" w:right="237"/>
        <w:jc w:val="both"/>
        <w:rPr>
          <w:rFonts w:ascii="Arial" w:hAnsi="Arial" w:cs="Arial"/>
          <w:sz w:val="28"/>
          <w:szCs w:val="28"/>
          <w:lang w:val="el-GR"/>
        </w:rPr>
      </w:pPr>
      <w:r w:rsidRPr="009D1B7F">
        <w:rPr>
          <w:rFonts w:ascii="Arial" w:hAnsi="Arial" w:cs="Arial"/>
          <w:lang w:val="el-GR"/>
        </w:rPr>
        <w:t xml:space="preserve">«(2) </w:t>
      </w:r>
      <w:r w:rsidR="009D1B7F" w:rsidRPr="009D1B7F">
        <w:rPr>
          <w:rFonts w:ascii="Arial" w:hAnsi="Arial" w:cs="Arial"/>
          <w:color w:val="000000"/>
          <w:lang w:val="el-GR"/>
        </w:rPr>
        <w:t xml:space="preserve">«(2) Στις περιπτώσεις που επιβάλλονται ή εισπράττονται τέλη με βάση το Κεφάλαιο 17 του Πίνακα, αλλά οι μεταβιβάσεις αφορούν οικόπεδα, κτίρια ή τμήματά τους ανεξάρτητα από τη νομική κατάστασή τους κατά το χρόνο συνομολόγησης της σύμβασης πώλησης, που πωλούνται για πρώτη φορά από την </w:t>
      </w:r>
      <w:proofErr w:type="spellStart"/>
      <w:r w:rsidR="009D1B7F" w:rsidRPr="009D1B7F">
        <w:rPr>
          <w:rFonts w:ascii="Arial" w:hAnsi="Arial" w:cs="Arial"/>
          <w:color w:val="000000"/>
          <w:lang w:val="el-GR"/>
        </w:rPr>
        <w:t>ημερομηνίαν</w:t>
      </w:r>
      <w:proofErr w:type="spellEnd"/>
      <w:r w:rsidR="009D1B7F" w:rsidRPr="009D1B7F">
        <w:rPr>
          <w:rFonts w:ascii="Arial" w:hAnsi="Arial" w:cs="Arial"/>
          <w:color w:val="000000"/>
          <w:lang w:val="el-GR"/>
        </w:rPr>
        <w:t xml:space="preserve"> έκδοσης της σχετικής πολεοδομικής άδειας ή άδειας οικοδομής και αμφότερες οι ημερομηνίες συνομολόγησης του σχετικού πωλητηρίου εγγράφου και κατάθεσής τους για πρώτη φορά στο Επαρχιακό Κτηματολογικό Γραφείο, με βάση τον περί Πώλησης Ακινήτων (Ειδική Εκτέλεση) Νόμο, εμπίπτουν στην περίοδο από τις 2 Δεκεμβρίου 2011 και μέχρι </w:t>
      </w:r>
      <w:r w:rsidR="009D1B7F" w:rsidRPr="009D1B7F">
        <w:rPr>
          <w:rFonts w:ascii="Arial" w:hAnsi="Arial" w:cs="Arial"/>
          <w:color w:val="000000"/>
          <w:lang w:val="el-GR"/>
        </w:rPr>
        <w:lastRenderedPageBreak/>
        <w:t xml:space="preserve">την 31η Δεκεμβρίου 2016, το τέλος μεταβίβασης που επιβάλλεται θα είναι μειωμένο κατά πενήντα τοις </w:t>
      </w:r>
      <w:proofErr w:type="spellStart"/>
      <w:r w:rsidR="009D1B7F" w:rsidRPr="009D1B7F">
        <w:rPr>
          <w:rFonts w:ascii="Arial" w:hAnsi="Arial" w:cs="Arial"/>
          <w:color w:val="000000"/>
          <w:lang w:val="el-GR"/>
        </w:rPr>
        <w:t>εκατόν</w:t>
      </w:r>
      <w:proofErr w:type="spellEnd"/>
      <w:r w:rsidR="009D1B7F" w:rsidRPr="009D1B7F">
        <w:rPr>
          <w:rFonts w:ascii="Arial" w:hAnsi="Arial" w:cs="Arial"/>
          <w:color w:val="000000"/>
          <w:lang w:val="el-GR"/>
        </w:rPr>
        <w:t xml:space="preserve"> (50%).»</w:t>
      </w:r>
    </w:p>
    <w:p w14:paraId="235A24A6" w14:textId="77777777" w:rsidR="00723D59" w:rsidRDefault="00723D59" w:rsidP="00FD4789">
      <w:pPr>
        <w:spacing w:line="480" w:lineRule="auto"/>
        <w:ind w:right="237"/>
        <w:jc w:val="both"/>
        <w:rPr>
          <w:rFonts w:ascii="Arial" w:hAnsi="Arial" w:cs="Arial"/>
          <w:sz w:val="28"/>
          <w:szCs w:val="28"/>
          <w:lang w:val="el-GR"/>
        </w:rPr>
      </w:pPr>
    </w:p>
    <w:p w14:paraId="794DBEE0" w14:textId="68ADF607" w:rsidR="00ED4D30" w:rsidRDefault="00ED4D30" w:rsidP="00FD4789">
      <w:pPr>
        <w:spacing w:line="480" w:lineRule="auto"/>
        <w:ind w:right="237"/>
        <w:jc w:val="both"/>
        <w:rPr>
          <w:rFonts w:ascii="Arial" w:hAnsi="Arial" w:cs="Arial"/>
          <w:sz w:val="28"/>
          <w:szCs w:val="28"/>
          <w:lang w:val="el-GR"/>
        </w:rPr>
      </w:pPr>
      <w:r>
        <w:rPr>
          <w:rFonts w:ascii="Arial" w:hAnsi="Arial" w:cs="Arial"/>
          <w:sz w:val="28"/>
          <w:szCs w:val="28"/>
          <w:lang w:val="el-GR"/>
        </w:rPr>
        <w:t>Το πρωτόδικο Δικαστήριο</w:t>
      </w:r>
      <w:r w:rsidR="009D1B7F">
        <w:rPr>
          <w:rFonts w:ascii="Arial" w:hAnsi="Arial" w:cs="Arial"/>
          <w:sz w:val="28"/>
          <w:szCs w:val="28"/>
          <w:lang w:val="el-GR"/>
        </w:rPr>
        <w:t>,</w:t>
      </w:r>
      <w:r>
        <w:rPr>
          <w:rFonts w:ascii="Arial" w:hAnsi="Arial" w:cs="Arial"/>
          <w:sz w:val="28"/>
          <w:szCs w:val="28"/>
          <w:lang w:val="el-GR"/>
        </w:rPr>
        <w:t xml:space="preserve"> αφού ανέλυσε τα δεδομένα της υπόθεσης, ειδικά το γεγ</w:t>
      </w:r>
      <w:r w:rsidR="00D416FA">
        <w:rPr>
          <w:rFonts w:ascii="Arial" w:hAnsi="Arial" w:cs="Arial"/>
          <w:sz w:val="28"/>
          <w:szCs w:val="28"/>
          <w:lang w:val="el-GR"/>
        </w:rPr>
        <w:t>ο</w:t>
      </w:r>
      <w:r>
        <w:rPr>
          <w:rFonts w:ascii="Arial" w:hAnsi="Arial" w:cs="Arial"/>
          <w:sz w:val="28"/>
          <w:szCs w:val="28"/>
          <w:lang w:val="el-GR"/>
        </w:rPr>
        <w:t xml:space="preserve">νός ότι η ακίνητη ιδιοκτησία ήταν </w:t>
      </w:r>
      <w:r w:rsidR="009D1B7F">
        <w:rPr>
          <w:rFonts w:ascii="Arial" w:hAnsi="Arial" w:cs="Arial"/>
          <w:sz w:val="28"/>
          <w:szCs w:val="28"/>
          <w:lang w:val="el-GR"/>
        </w:rPr>
        <w:t>«</w:t>
      </w:r>
      <w:r>
        <w:rPr>
          <w:rFonts w:ascii="Arial" w:hAnsi="Arial" w:cs="Arial"/>
          <w:sz w:val="28"/>
          <w:szCs w:val="28"/>
          <w:lang w:val="el-GR"/>
        </w:rPr>
        <w:t>χωράφι</w:t>
      </w:r>
      <w:r w:rsidR="009D1B7F">
        <w:rPr>
          <w:rFonts w:ascii="Arial" w:hAnsi="Arial" w:cs="Arial"/>
          <w:sz w:val="28"/>
          <w:szCs w:val="28"/>
          <w:lang w:val="el-GR"/>
        </w:rPr>
        <w:t>»</w:t>
      </w:r>
      <w:r>
        <w:rPr>
          <w:rFonts w:ascii="Arial" w:hAnsi="Arial" w:cs="Arial"/>
          <w:sz w:val="28"/>
          <w:szCs w:val="28"/>
          <w:lang w:val="el-GR"/>
        </w:rPr>
        <w:t xml:space="preserve"> και όχι </w:t>
      </w:r>
      <w:r w:rsidR="009D1B7F">
        <w:rPr>
          <w:rFonts w:ascii="Arial" w:hAnsi="Arial" w:cs="Arial"/>
          <w:sz w:val="28"/>
          <w:szCs w:val="28"/>
          <w:lang w:val="el-GR"/>
        </w:rPr>
        <w:t>«</w:t>
      </w:r>
      <w:r>
        <w:rPr>
          <w:rFonts w:ascii="Arial" w:hAnsi="Arial" w:cs="Arial"/>
          <w:sz w:val="28"/>
          <w:szCs w:val="28"/>
          <w:lang w:val="el-GR"/>
        </w:rPr>
        <w:t>οικόπεδο</w:t>
      </w:r>
      <w:r w:rsidR="009D1B7F">
        <w:rPr>
          <w:rFonts w:ascii="Arial" w:hAnsi="Arial" w:cs="Arial"/>
          <w:sz w:val="28"/>
          <w:szCs w:val="28"/>
          <w:lang w:val="el-GR"/>
        </w:rPr>
        <w:t>»</w:t>
      </w:r>
      <w:r>
        <w:rPr>
          <w:rFonts w:ascii="Arial" w:hAnsi="Arial" w:cs="Arial"/>
          <w:sz w:val="28"/>
          <w:szCs w:val="28"/>
          <w:lang w:val="el-GR"/>
        </w:rPr>
        <w:t xml:space="preserve">, ως το λεκτικό του Νόμου, </w:t>
      </w:r>
      <w:r w:rsidR="0083403F">
        <w:rPr>
          <w:rFonts w:ascii="Arial" w:hAnsi="Arial" w:cs="Arial"/>
          <w:sz w:val="28"/>
          <w:szCs w:val="28"/>
          <w:lang w:val="el-GR"/>
        </w:rPr>
        <w:t xml:space="preserve">έθεσε το ζήτημα </w:t>
      </w:r>
      <w:r>
        <w:rPr>
          <w:rFonts w:ascii="Arial" w:hAnsi="Arial" w:cs="Arial"/>
          <w:sz w:val="28"/>
          <w:szCs w:val="28"/>
          <w:lang w:val="el-GR"/>
        </w:rPr>
        <w:t>ως εξής:</w:t>
      </w:r>
    </w:p>
    <w:p w14:paraId="60FC99D2" w14:textId="746AA12C" w:rsidR="006C2D40" w:rsidRPr="006C2D40" w:rsidRDefault="006C2D40" w:rsidP="0083403F">
      <w:pPr>
        <w:ind w:left="567" w:right="237"/>
        <w:jc w:val="both"/>
        <w:rPr>
          <w:rFonts w:ascii="Arial" w:hAnsi="Arial" w:cs="Arial"/>
          <w:lang w:val="el-GR"/>
        </w:rPr>
      </w:pPr>
      <w:r w:rsidRPr="006C2D40">
        <w:rPr>
          <w:rFonts w:ascii="Arial" w:hAnsi="Arial" w:cs="Arial"/>
          <w:lang w:val="el-GR"/>
        </w:rPr>
        <w:t>«Αφ’ ης στιγμής οι πρόνοιες του άρθρου 10(2) του Κεφ. 219 απαιτούν την εφαρμογή τους σε «οικόπεδα, κτίρια ή τμήματα τους» καθίσταται αναγκαίο να εξεταστεί το κατά πόσον χωράφι - για το οποίο εκδόθηκε πολεοδομική άδεια διαχωρισμού του σε οικόπεδα, καθώς επίσης και άδεια διαίρεσης γης από την αρμόδια αρχή, άδειες οι οποίες όμως δεν είχαν ακόμα υλοποιηθεί κατά τον ουσιώδη χρόνο κατάθεσης της δήλωσης μεταβίβασης - εμπίπτει στην έννοια του οικοπέδου</w:t>
      </w:r>
      <w:r>
        <w:rPr>
          <w:rFonts w:ascii="Arial" w:hAnsi="Arial" w:cs="Arial"/>
          <w:lang w:val="el-GR"/>
        </w:rPr>
        <w:t>»</w:t>
      </w:r>
      <w:r w:rsidRPr="006C2D40">
        <w:rPr>
          <w:rFonts w:ascii="Arial" w:hAnsi="Arial" w:cs="Arial"/>
          <w:lang w:val="el-GR"/>
        </w:rPr>
        <w:t>.</w:t>
      </w:r>
    </w:p>
    <w:p w14:paraId="7D2ABC6A" w14:textId="5A1C1D96" w:rsidR="00ED4D30" w:rsidRDefault="00ED4D30" w:rsidP="00FD4789">
      <w:pPr>
        <w:spacing w:line="480" w:lineRule="auto"/>
        <w:ind w:right="237"/>
        <w:jc w:val="both"/>
        <w:rPr>
          <w:rFonts w:ascii="Arial" w:hAnsi="Arial" w:cs="Arial"/>
          <w:sz w:val="28"/>
          <w:szCs w:val="28"/>
          <w:lang w:val="el-GR"/>
        </w:rPr>
      </w:pPr>
    </w:p>
    <w:p w14:paraId="74C587E7" w14:textId="580B5F18" w:rsidR="009D1B7F" w:rsidRDefault="009D1B7F" w:rsidP="00FD4789">
      <w:pPr>
        <w:spacing w:line="480" w:lineRule="auto"/>
        <w:ind w:right="237"/>
        <w:jc w:val="both"/>
        <w:rPr>
          <w:rFonts w:ascii="Arial" w:hAnsi="Arial" w:cs="Arial"/>
          <w:sz w:val="28"/>
          <w:szCs w:val="28"/>
          <w:lang w:val="el-GR"/>
        </w:rPr>
      </w:pPr>
      <w:r>
        <w:rPr>
          <w:rFonts w:ascii="Arial" w:hAnsi="Arial" w:cs="Arial"/>
          <w:sz w:val="28"/>
          <w:szCs w:val="28"/>
          <w:lang w:val="el-GR"/>
        </w:rPr>
        <w:t>Για να καταλήξει χρησιμοποίησε τον όρο «οικόπεδο», όπως αυτό</w:t>
      </w:r>
      <w:r w:rsidR="006C0A59">
        <w:rPr>
          <w:rFonts w:ascii="Arial" w:hAnsi="Arial" w:cs="Arial"/>
          <w:sz w:val="28"/>
          <w:szCs w:val="28"/>
          <w:lang w:val="el-GR"/>
        </w:rPr>
        <w:t>ς</w:t>
      </w:r>
      <w:r>
        <w:rPr>
          <w:rFonts w:ascii="Arial" w:hAnsi="Arial" w:cs="Arial"/>
          <w:sz w:val="28"/>
          <w:szCs w:val="28"/>
          <w:lang w:val="el-GR"/>
        </w:rPr>
        <w:t xml:space="preserve"> ερμηνεύεται στον περί </w:t>
      </w:r>
      <w:r>
        <w:rPr>
          <w:rFonts w:ascii="Arial" w:hAnsi="Arial" w:cs="Arial"/>
          <w:b/>
          <w:bCs/>
          <w:i/>
          <w:iCs/>
          <w:sz w:val="28"/>
          <w:szCs w:val="28"/>
          <w:lang w:val="el-GR"/>
        </w:rPr>
        <w:t xml:space="preserve">Πολεοδομίας και Χωροταξίας Νόμο του 1972, Ν.90/1972, </w:t>
      </w:r>
      <w:r>
        <w:rPr>
          <w:rFonts w:ascii="Arial" w:hAnsi="Arial" w:cs="Arial"/>
          <w:sz w:val="28"/>
          <w:szCs w:val="28"/>
          <w:lang w:val="el-GR"/>
        </w:rPr>
        <w:t>ως εξής:</w:t>
      </w:r>
    </w:p>
    <w:p w14:paraId="1A05F2C1" w14:textId="6A0DDBD1" w:rsidR="00A06763" w:rsidRPr="00A06763" w:rsidRDefault="00A06763" w:rsidP="00FD4789">
      <w:pPr>
        <w:pStyle w:val="kanonikh"/>
        <w:spacing w:before="0" w:beforeAutospacing="0" w:after="0" w:afterAutospacing="0"/>
        <w:ind w:left="567" w:right="237"/>
        <w:jc w:val="both"/>
        <w:rPr>
          <w:rFonts w:ascii="Arial" w:hAnsi="Arial" w:cs="Arial"/>
          <w:color w:val="000000"/>
          <w:sz w:val="30"/>
          <w:szCs w:val="30"/>
        </w:rPr>
      </w:pPr>
      <w:r w:rsidRPr="00A06763">
        <w:rPr>
          <w:rFonts w:ascii="Arial" w:hAnsi="Arial" w:cs="Arial"/>
          <w:color w:val="000000"/>
          <w:lang w:val="el-GR"/>
        </w:rPr>
        <w:t>«</w:t>
      </w:r>
      <w:r w:rsidRPr="00A06763">
        <w:rPr>
          <w:rFonts w:ascii="Arial" w:hAnsi="Arial" w:cs="Arial"/>
          <w:color w:val="000000"/>
        </w:rPr>
        <w:t>Έχω ανατρέξει στις διατάξεις του ίδιου του Κεφ. 219, χωρίς να αποδίδεται η ερμηνεία της έννοιας του «οικοπέδου». Τέτοια ερμηνεία, έχω εντοπίσει να απαντάται στις διατάξεις του περί Πολεοδομίας και Χωροταξίας Νόμου του 1972, Ν. 90/72.</w:t>
      </w:r>
    </w:p>
    <w:p w14:paraId="713E9E91" w14:textId="77777777" w:rsidR="00A06763" w:rsidRPr="00A06763" w:rsidRDefault="00A06763" w:rsidP="00FD4789">
      <w:pPr>
        <w:pStyle w:val="kanonikh"/>
        <w:spacing w:before="0" w:beforeAutospacing="0" w:after="0" w:afterAutospacing="0"/>
        <w:ind w:left="567" w:right="237"/>
        <w:jc w:val="both"/>
        <w:rPr>
          <w:rFonts w:ascii="Arial" w:hAnsi="Arial" w:cs="Arial"/>
          <w:color w:val="000000"/>
          <w:sz w:val="30"/>
          <w:szCs w:val="30"/>
        </w:rPr>
      </w:pPr>
      <w:r w:rsidRPr="00A06763">
        <w:rPr>
          <w:rFonts w:ascii="Arial" w:hAnsi="Arial" w:cs="Arial"/>
          <w:color w:val="000000"/>
        </w:rPr>
        <w:t> </w:t>
      </w:r>
    </w:p>
    <w:p w14:paraId="0A561352" w14:textId="77777777" w:rsidR="00A06763" w:rsidRPr="00A06763" w:rsidRDefault="00A06763" w:rsidP="00FD4789">
      <w:pPr>
        <w:pStyle w:val="kanonikh"/>
        <w:spacing w:before="0" w:beforeAutospacing="0" w:after="0" w:afterAutospacing="0"/>
        <w:ind w:left="567" w:right="237"/>
        <w:jc w:val="both"/>
        <w:rPr>
          <w:rFonts w:ascii="Arial" w:hAnsi="Arial" w:cs="Arial"/>
          <w:color w:val="000000"/>
          <w:sz w:val="30"/>
          <w:szCs w:val="30"/>
        </w:rPr>
      </w:pPr>
      <w:r w:rsidRPr="00A06763">
        <w:rPr>
          <w:rFonts w:ascii="Arial" w:hAnsi="Arial" w:cs="Arial"/>
          <w:color w:val="000000"/>
        </w:rPr>
        <w:t>Συγκεκριμένα στο άρθρο 2 του Ν. 90/72, αναφέρονται τα ακόλουθα:</w:t>
      </w:r>
    </w:p>
    <w:p w14:paraId="232FE0F8" w14:textId="77777777" w:rsidR="00A06763" w:rsidRPr="00A06763" w:rsidRDefault="00A06763" w:rsidP="00FD4789">
      <w:pPr>
        <w:pStyle w:val="kanonikh"/>
        <w:spacing w:before="0" w:beforeAutospacing="0" w:after="0" w:afterAutospacing="0"/>
        <w:ind w:left="567" w:right="237"/>
        <w:jc w:val="both"/>
        <w:rPr>
          <w:rFonts w:ascii="Arial" w:hAnsi="Arial" w:cs="Arial"/>
          <w:color w:val="000000"/>
          <w:sz w:val="30"/>
          <w:szCs w:val="30"/>
        </w:rPr>
      </w:pPr>
      <w:r w:rsidRPr="00A06763">
        <w:rPr>
          <w:rFonts w:ascii="Arial" w:hAnsi="Arial" w:cs="Arial"/>
          <w:color w:val="000000"/>
        </w:rPr>
        <w:t> </w:t>
      </w:r>
    </w:p>
    <w:p w14:paraId="7ED65C10" w14:textId="77777777" w:rsidR="00A06763" w:rsidRPr="00A06763" w:rsidRDefault="00A06763" w:rsidP="00FD4789">
      <w:pPr>
        <w:pStyle w:val="kanonikh"/>
        <w:spacing w:before="0" w:beforeAutospacing="0" w:after="0" w:afterAutospacing="0"/>
        <w:ind w:left="567" w:right="237"/>
        <w:jc w:val="both"/>
        <w:rPr>
          <w:rFonts w:ascii="Arial" w:hAnsi="Arial" w:cs="Arial"/>
          <w:color w:val="000000"/>
          <w:sz w:val="30"/>
          <w:szCs w:val="30"/>
        </w:rPr>
      </w:pPr>
      <w:r w:rsidRPr="00A06763">
        <w:rPr>
          <w:rFonts w:ascii="Arial" w:hAnsi="Arial" w:cs="Arial"/>
          <w:i/>
          <w:iCs/>
          <w:color w:val="000000"/>
        </w:rPr>
        <w:t>«οικόπεδο» σημαίνει τεμάχιο γης κατάλληλο για οικοδομικούς σκοπούς, το οποίο έχει προκύψει με την υλοποίηση πολεοδομικής άδειας δυνάμει του παρόντος Νόμου ή και άδειας διαίρεσης δυνάμει του περί Ρυθμίσεως Οδών και Οικοδομών Νόμου, για μετατροπή ή και διαίρεση ακίνητης ιδιοκτησίας σε οικόπεδο ή και σε χωριστά οικόπεδα και για την τελευταία έχει εκδοθεί πιστοποιητικό έγκρισης από την αρμόδια αρχή•</w:t>
      </w:r>
    </w:p>
    <w:p w14:paraId="0096C714" w14:textId="77777777" w:rsidR="00A06763" w:rsidRPr="00A06763" w:rsidRDefault="00A06763" w:rsidP="00FD4789">
      <w:pPr>
        <w:pStyle w:val="kanonikh"/>
        <w:spacing w:before="0" w:beforeAutospacing="0" w:after="0" w:afterAutospacing="0"/>
        <w:ind w:left="567" w:right="237"/>
        <w:jc w:val="both"/>
        <w:rPr>
          <w:rFonts w:ascii="Arial" w:hAnsi="Arial" w:cs="Arial"/>
          <w:color w:val="000000"/>
          <w:sz w:val="30"/>
          <w:szCs w:val="30"/>
        </w:rPr>
      </w:pPr>
      <w:r w:rsidRPr="00A06763">
        <w:rPr>
          <w:rFonts w:ascii="Arial" w:hAnsi="Arial" w:cs="Arial"/>
          <w:color w:val="000000"/>
        </w:rPr>
        <w:t> </w:t>
      </w:r>
    </w:p>
    <w:p w14:paraId="33600815" w14:textId="2505B0CA" w:rsidR="00A06763" w:rsidRPr="00A06763" w:rsidRDefault="00A06763" w:rsidP="00FD4789">
      <w:pPr>
        <w:pStyle w:val="kanonikh"/>
        <w:spacing w:before="0" w:beforeAutospacing="0" w:after="0" w:afterAutospacing="0"/>
        <w:ind w:left="567" w:right="237"/>
        <w:jc w:val="both"/>
        <w:rPr>
          <w:rFonts w:ascii="Arial" w:hAnsi="Arial" w:cs="Arial"/>
          <w:color w:val="000000"/>
          <w:sz w:val="30"/>
          <w:szCs w:val="30"/>
          <w:lang w:val="el-GR"/>
        </w:rPr>
      </w:pPr>
      <w:r w:rsidRPr="00A06763">
        <w:rPr>
          <w:rFonts w:ascii="Arial" w:hAnsi="Arial" w:cs="Arial"/>
          <w:i/>
          <w:iCs/>
          <w:color w:val="000000"/>
        </w:rPr>
        <w:t>«υπό δημιουργία οικόπεδο» σημαίνει τεμάχιο γης κατάλληλο για οικοδομικούς σκοπούς, το οποίο θα προκύψει με την υλοποίηση σε ισχύ πολεοδομικής άδειας δυνάμει του παρόντος Νόμου ή/και άδειας διαίρεσης δυνάμει του περί Ρυθμίσεως Οδών και Οικοδομών Νόμου για μετατροπή ή και διαίρεση ακίνητης ιδιοκτησίας σε οικόπεδο ή και σε χωριστά οικόπεδα και ο διαχωρισμός βρίσκεται σε στάδιο που έχουν τοποθετηθεί τα κράσπεδα και οι δρόμοι είναι άνετα βατοί από οχήματα και έχει επιβεβαιωθεί η εμβαδομέτρηση των οικοπέδων από πρόσωπο που είναι αρμόδιο για το σκοπό αυτό•</w:t>
      </w:r>
      <w:r>
        <w:rPr>
          <w:rFonts w:ascii="Arial" w:hAnsi="Arial" w:cs="Arial"/>
          <w:i/>
          <w:iCs/>
          <w:color w:val="000000"/>
          <w:lang w:val="el-GR"/>
        </w:rPr>
        <w:t>»</w:t>
      </w:r>
    </w:p>
    <w:p w14:paraId="33D1F677" w14:textId="62E2B0AA" w:rsidR="00ED4D30" w:rsidRPr="00EA0020" w:rsidRDefault="00ED4D30" w:rsidP="00FD4789">
      <w:pPr>
        <w:spacing w:line="480" w:lineRule="auto"/>
        <w:ind w:right="237"/>
        <w:jc w:val="both"/>
        <w:rPr>
          <w:rFonts w:ascii="Arial" w:hAnsi="Arial" w:cs="Arial"/>
          <w:sz w:val="28"/>
          <w:szCs w:val="28"/>
          <w:lang w:val="el-GR"/>
        </w:rPr>
      </w:pPr>
      <w:r>
        <w:rPr>
          <w:rFonts w:ascii="Arial" w:hAnsi="Arial" w:cs="Arial"/>
          <w:sz w:val="28"/>
          <w:szCs w:val="28"/>
          <w:lang w:val="el-GR"/>
        </w:rPr>
        <w:lastRenderedPageBreak/>
        <w:t xml:space="preserve">Επίσης έκρινε ως αβάσιμη τη θέση των </w:t>
      </w:r>
      <w:proofErr w:type="spellStart"/>
      <w:r>
        <w:rPr>
          <w:rFonts w:ascii="Arial" w:hAnsi="Arial" w:cs="Arial"/>
          <w:sz w:val="28"/>
          <w:szCs w:val="28"/>
          <w:lang w:val="el-GR"/>
        </w:rPr>
        <w:t>Εφεσειόντων</w:t>
      </w:r>
      <w:proofErr w:type="spellEnd"/>
      <w:r>
        <w:rPr>
          <w:rFonts w:ascii="Arial" w:hAnsi="Arial" w:cs="Arial"/>
          <w:sz w:val="28"/>
          <w:szCs w:val="28"/>
          <w:lang w:val="el-GR"/>
        </w:rPr>
        <w:t xml:space="preserve"> ότι θα έπρεπε να ακουσθούν, πριν τη λήψη της απόφασης αφού κάτι τέτοιο δεν προνοείται από το Κεφ.219 και η απόφαση του Διοικητικού Οργάνου δεν αποτελούσε κύρωση ώστε να εφαρμοσθεί το </w:t>
      </w:r>
      <w:r w:rsidRPr="006C2D40">
        <w:rPr>
          <w:rFonts w:ascii="Arial" w:hAnsi="Arial" w:cs="Arial"/>
          <w:b/>
          <w:bCs/>
          <w:i/>
          <w:iCs/>
          <w:sz w:val="28"/>
          <w:szCs w:val="28"/>
          <w:lang w:val="el-GR"/>
        </w:rPr>
        <w:t>΄</w:t>
      </w:r>
      <w:proofErr w:type="spellStart"/>
      <w:r w:rsidRPr="006C2D40">
        <w:rPr>
          <w:rFonts w:ascii="Arial" w:hAnsi="Arial" w:cs="Arial"/>
          <w:b/>
          <w:bCs/>
          <w:i/>
          <w:iCs/>
          <w:sz w:val="28"/>
          <w:szCs w:val="28"/>
          <w:lang w:val="el-GR"/>
        </w:rPr>
        <w:t>Αρθρο</w:t>
      </w:r>
      <w:proofErr w:type="spellEnd"/>
      <w:r w:rsidRPr="006C2D40">
        <w:rPr>
          <w:rFonts w:ascii="Arial" w:hAnsi="Arial" w:cs="Arial"/>
          <w:b/>
          <w:bCs/>
          <w:i/>
          <w:iCs/>
          <w:sz w:val="28"/>
          <w:szCs w:val="28"/>
          <w:lang w:val="el-GR"/>
        </w:rPr>
        <w:t xml:space="preserve"> 43</w:t>
      </w:r>
      <w:r w:rsidRPr="008430B0">
        <w:rPr>
          <w:rFonts w:ascii="Arial" w:hAnsi="Arial" w:cs="Arial"/>
          <w:iCs/>
          <w:sz w:val="28"/>
          <w:szCs w:val="28"/>
          <w:lang w:val="el-GR"/>
        </w:rPr>
        <w:t xml:space="preserve"> του</w:t>
      </w:r>
      <w:r w:rsidRPr="006C2D40">
        <w:rPr>
          <w:rFonts w:ascii="Arial" w:hAnsi="Arial" w:cs="Arial"/>
          <w:b/>
          <w:bCs/>
          <w:i/>
          <w:iCs/>
          <w:sz w:val="28"/>
          <w:szCs w:val="28"/>
          <w:lang w:val="el-GR"/>
        </w:rPr>
        <w:t xml:space="preserve"> περί των Γενικών Αρχών του Διοικητικού Δικαίου Ν.15</w:t>
      </w:r>
      <w:r w:rsidR="0083403F">
        <w:rPr>
          <w:rFonts w:ascii="Arial" w:hAnsi="Arial" w:cs="Arial"/>
          <w:b/>
          <w:bCs/>
          <w:i/>
          <w:iCs/>
          <w:sz w:val="28"/>
          <w:szCs w:val="28"/>
          <w:lang w:val="el-GR"/>
        </w:rPr>
        <w:t>8</w:t>
      </w:r>
      <w:r w:rsidRPr="006C2D40">
        <w:rPr>
          <w:rFonts w:ascii="Arial" w:hAnsi="Arial" w:cs="Arial"/>
          <w:b/>
          <w:bCs/>
          <w:i/>
          <w:iCs/>
          <w:sz w:val="28"/>
          <w:szCs w:val="28"/>
          <w:lang w:val="el-GR"/>
        </w:rPr>
        <w:t>(</w:t>
      </w:r>
      <w:r w:rsidR="0083403F">
        <w:rPr>
          <w:rFonts w:ascii="Arial" w:hAnsi="Arial" w:cs="Arial"/>
          <w:b/>
          <w:bCs/>
          <w:i/>
          <w:iCs/>
          <w:sz w:val="28"/>
          <w:szCs w:val="28"/>
          <w:lang w:val="el-GR"/>
        </w:rPr>
        <w:t>Ι</w:t>
      </w:r>
      <w:r w:rsidRPr="006C2D40">
        <w:rPr>
          <w:rFonts w:ascii="Arial" w:hAnsi="Arial" w:cs="Arial"/>
          <w:b/>
          <w:bCs/>
          <w:i/>
          <w:iCs/>
          <w:sz w:val="28"/>
          <w:szCs w:val="28"/>
          <w:lang w:val="el-GR"/>
        </w:rPr>
        <w:t>)/1999.</w:t>
      </w:r>
      <w:r w:rsidR="00EA0020">
        <w:rPr>
          <w:rFonts w:ascii="Arial" w:hAnsi="Arial" w:cs="Arial"/>
          <w:b/>
          <w:bCs/>
          <w:i/>
          <w:iCs/>
          <w:sz w:val="28"/>
          <w:szCs w:val="28"/>
          <w:lang w:val="el-GR"/>
        </w:rPr>
        <w:t xml:space="preserve">  </w:t>
      </w:r>
      <w:r w:rsidR="00EA0020">
        <w:rPr>
          <w:rFonts w:ascii="Arial" w:hAnsi="Arial" w:cs="Arial"/>
          <w:sz w:val="28"/>
          <w:szCs w:val="28"/>
          <w:lang w:val="el-GR"/>
        </w:rPr>
        <w:t>Το τελευταίο δεν θα μας απασχολήσει αφού δεν αποτελεί λόγο έφεσης.</w:t>
      </w:r>
    </w:p>
    <w:p w14:paraId="4EA1711B" w14:textId="77777777" w:rsidR="00ED4D30" w:rsidRDefault="00ED4D30" w:rsidP="00FD4789">
      <w:pPr>
        <w:spacing w:line="480" w:lineRule="auto"/>
        <w:ind w:right="237"/>
        <w:jc w:val="both"/>
        <w:rPr>
          <w:rFonts w:ascii="Arial" w:hAnsi="Arial" w:cs="Arial"/>
          <w:sz w:val="28"/>
          <w:szCs w:val="28"/>
          <w:lang w:val="el-GR"/>
        </w:rPr>
      </w:pPr>
    </w:p>
    <w:p w14:paraId="2DC363FF" w14:textId="2DD61167" w:rsidR="00ED4D30" w:rsidRDefault="00ED4D30" w:rsidP="00FD4789">
      <w:pPr>
        <w:spacing w:line="480" w:lineRule="auto"/>
        <w:ind w:right="237"/>
        <w:jc w:val="both"/>
        <w:rPr>
          <w:rFonts w:ascii="Arial" w:hAnsi="Arial" w:cs="Arial"/>
          <w:sz w:val="28"/>
          <w:szCs w:val="28"/>
          <w:lang w:val="el-GR"/>
        </w:rPr>
      </w:pPr>
      <w:r>
        <w:rPr>
          <w:rFonts w:ascii="Arial" w:hAnsi="Arial" w:cs="Arial"/>
          <w:sz w:val="28"/>
          <w:szCs w:val="28"/>
          <w:lang w:val="el-GR"/>
        </w:rPr>
        <w:t xml:space="preserve">Οι τρεις </w:t>
      </w:r>
      <w:r w:rsidR="00525275">
        <w:rPr>
          <w:rFonts w:ascii="Arial" w:hAnsi="Arial" w:cs="Arial"/>
          <w:sz w:val="28"/>
          <w:szCs w:val="28"/>
          <w:lang w:val="el-GR"/>
        </w:rPr>
        <w:t>λόγοι έφεσης</w:t>
      </w:r>
      <w:r>
        <w:rPr>
          <w:rFonts w:ascii="Arial" w:hAnsi="Arial" w:cs="Arial"/>
          <w:sz w:val="28"/>
          <w:szCs w:val="28"/>
          <w:lang w:val="el-GR"/>
        </w:rPr>
        <w:t xml:space="preserve"> αφορούν στη δικανική ερμηνεία του </w:t>
      </w:r>
      <w:r w:rsidR="00525275">
        <w:rPr>
          <w:rFonts w:ascii="Arial" w:hAnsi="Arial" w:cs="Arial"/>
          <w:sz w:val="28"/>
          <w:szCs w:val="28"/>
          <w:lang w:val="el-GR"/>
        </w:rPr>
        <w:t>πρωτόδικου</w:t>
      </w:r>
      <w:r>
        <w:rPr>
          <w:rFonts w:ascii="Arial" w:hAnsi="Arial" w:cs="Arial"/>
          <w:sz w:val="28"/>
          <w:szCs w:val="28"/>
          <w:lang w:val="el-GR"/>
        </w:rPr>
        <w:t xml:space="preserve"> Δικ</w:t>
      </w:r>
      <w:r w:rsidR="00525275">
        <w:rPr>
          <w:rFonts w:ascii="Arial" w:hAnsi="Arial" w:cs="Arial"/>
          <w:sz w:val="28"/>
          <w:szCs w:val="28"/>
          <w:lang w:val="el-GR"/>
        </w:rPr>
        <w:t>αστηρίου</w:t>
      </w:r>
      <w:r>
        <w:rPr>
          <w:rFonts w:ascii="Arial" w:hAnsi="Arial" w:cs="Arial"/>
          <w:sz w:val="28"/>
          <w:szCs w:val="28"/>
          <w:lang w:val="el-GR"/>
        </w:rPr>
        <w:t xml:space="preserve"> αναφορικά με το </w:t>
      </w:r>
      <w:r w:rsidRPr="00CF423D">
        <w:rPr>
          <w:rFonts w:ascii="Arial" w:hAnsi="Arial" w:cs="Arial"/>
          <w:b/>
          <w:bCs/>
          <w:i/>
          <w:iCs/>
          <w:sz w:val="28"/>
          <w:szCs w:val="28"/>
          <w:lang w:val="el-GR"/>
        </w:rPr>
        <w:t>΄</w:t>
      </w:r>
      <w:proofErr w:type="spellStart"/>
      <w:r w:rsidRPr="00CF423D">
        <w:rPr>
          <w:rFonts w:ascii="Arial" w:hAnsi="Arial" w:cs="Arial"/>
          <w:b/>
          <w:bCs/>
          <w:i/>
          <w:iCs/>
          <w:sz w:val="28"/>
          <w:szCs w:val="28"/>
          <w:lang w:val="el-GR"/>
        </w:rPr>
        <w:t>Αρθρο</w:t>
      </w:r>
      <w:proofErr w:type="spellEnd"/>
      <w:r w:rsidRPr="00CF423D">
        <w:rPr>
          <w:rFonts w:ascii="Arial" w:hAnsi="Arial" w:cs="Arial"/>
          <w:b/>
          <w:bCs/>
          <w:i/>
          <w:iCs/>
          <w:sz w:val="28"/>
          <w:szCs w:val="28"/>
          <w:lang w:val="el-GR"/>
        </w:rPr>
        <w:t xml:space="preserve"> 10(2) </w:t>
      </w:r>
      <w:r w:rsidRPr="008430B0">
        <w:rPr>
          <w:rFonts w:ascii="Arial" w:hAnsi="Arial" w:cs="Arial"/>
          <w:sz w:val="28"/>
          <w:szCs w:val="28"/>
          <w:lang w:val="el-GR"/>
        </w:rPr>
        <w:t>του</w:t>
      </w:r>
      <w:r w:rsidRPr="00CF423D">
        <w:rPr>
          <w:rFonts w:ascii="Arial" w:hAnsi="Arial" w:cs="Arial"/>
          <w:b/>
          <w:bCs/>
          <w:i/>
          <w:iCs/>
          <w:sz w:val="28"/>
          <w:szCs w:val="28"/>
          <w:lang w:val="el-GR"/>
        </w:rPr>
        <w:t xml:space="preserve"> Κεφ.219</w:t>
      </w:r>
      <w:r>
        <w:rPr>
          <w:rFonts w:ascii="Arial" w:hAnsi="Arial" w:cs="Arial"/>
          <w:sz w:val="28"/>
          <w:szCs w:val="28"/>
          <w:lang w:val="el-GR"/>
        </w:rPr>
        <w:t>, ως εξής:</w:t>
      </w:r>
    </w:p>
    <w:p w14:paraId="7B0C2741" w14:textId="77777777" w:rsidR="006C2D40" w:rsidRDefault="006C2D40" w:rsidP="00FD4789">
      <w:pPr>
        <w:spacing w:line="480" w:lineRule="auto"/>
        <w:ind w:right="237"/>
        <w:jc w:val="both"/>
        <w:rPr>
          <w:rFonts w:ascii="Arial" w:hAnsi="Arial" w:cs="Arial"/>
          <w:sz w:val="28"/>
          <w:szCs w:val="28"/>
          <w:u w:val="single"/>
          <w:lang w:val="el-GR"/>
        </w:rPr>
      </w:pPr>
    </w:p>
    <w:p w14:paraId="2424E7B8" w14:textId="1ABB82A4" w:rsidR="006C2D40" w:rsidRDefault="006C2D40" w:rsidP="00FD4789">
      <w:pPr>
        <w:spacing w:line="480" w:lineRule="auto"/>
        <w:ind w:right="237"/>
        <w:jc w:val="both"/>
        <w:rPr>
          <w:rFonts w:ascii="Arial" w:hAnsi="Arial" w:cs="Arial"/>
          <w:sz w:val="28"/>
          <w:szCs w:val="28"/>
          <w:lang w:val="el-GR"/>
        </w:rPr>
      </w:pPr>
      <w:bookmarkStart w:id="1" w:name="_Hlk153444387"/>
      <w:r>
        <w:rPr>
          <w:rFonts w:ascii="Arial" w:hAnsi="Arial" w:cs="Arial"/>
          <w:sz w:val="28"/>
          <w:szCs w:val="28"/>
          <w:lang w:val="el-GR"/>
        </w:rPr>
        <w:t xml:space="preserve">Λανθασμένα το πρωτόδικο Δικαστήριο </w:t>
      </w:r>
      <w:bookmarkEnd w:id="1"/>
      <w:r>
        <w:rPr>
          <w:rFonts w:ascii="Arial" w:hAnsi="Arial" w:cs="Arial"/>
          <w:sz w:val="28"/>
          <w:szCs w:val="28"/>
          <w:lang w:val="el-GR"/>
        </w:rPr>
        <w:t>αποφάσισε πως η έννοια του όρου «οικόπεδο», για σκοπού</w:t>
      </w:r>
      <w:r w:rsidR="00206621">
        <w:rPr>
          <w:rFonts w:ascii="Arial" w:hAnsi="Arial" w:cs="Arial"/>
          <w:sz w:val="28"/>
          <w:szCs w:val="28"/>
          <w:lang w:val="el-GR"/>
        </w:rPr>
        <w:t>ς</w:t>
      </w:r>
      <w:r>
        <w:rPr>
          <w:rFonts w:ascii="Arial" w:hAnsi="Arial" w:cs="Arial"/>
          <w:sz w:val="28"/>
          <w:szCs w:val="28"/>
          <w:lang w:val="el-GR"/>
        </w:rPr>
        <w:t xml:space="preserve"> εφαρμογής του </w:t>
      </w:r>
      <w:r w:rsidR="00C414BE" w:rsidRPr="00C414BE">
        <w:rPr>
          <w:rFonts w:ascii="Arial" w:hAnsi="Arial" w:cs="Arial"/>
          <w:b/>
          <w:bCs/>
          <w:i/>
          <w:iCs/>
          <w:sz w:val="28"/>
          <w:szCs w:val="28"/>
          <w:lang w:val="el-GR"/>
        </w:rPr>
        <w:t>΄</w:t>
      </w:r>
      <w:proofErr w:type="spellStart"/>
      <w:r w:rsidR="00C414BE" w:rsidRPr="00C414BE">
        <w:rPr>
          <w:rFonts w:ascii="Arial" w:hAnsi="Arial" w:cs="Arial"/>
          <w:b/>
          <w:bCs/>
          <w:i/>
          <w:iCs/>
          <w:sz w:val="28"/>
          <w:szCs w:val="28"/>
          <w:lang w:val="el-GR"/>
        </w:rPr>
        <w:t>Α</w:t>
      </w:r>
      <w:r w:rsidRPr="00C414BE">
        <w:rPr>
          <w:rFonts w:ascii="Arial" w:hAnsi="Arial" w:cs="Arial"/>
          <w:b/>
          <w:bCs/>
          <w:i/>
          <w:iCs/>
          <w:sz w:val="28"/>
          <w:szCs w:val="28"/>
          <w:lang w:val="el-GR"/>
        </w:rPr>
        <w:t>ρθρου</w:t>
      </w:r>
      <w:proofErr w:type="spellEnd"/>
      <w:r w:rsidRPr="00C414BE">
        <w:rPr>
          <w:rFonts w:ascii="Arial" w:hAnsi="Arial" w:cs="Arial"/>
          <w:b/>
          <w:bCs/>
          <w:i/>
          <w:iCs/>
          <w:sz w:val="28"/>
          <w:szCs w:val="28"/>
          <w:lang w:val="el-GR"/>
        </w:rPr>
        <w:t xml:space="preserve"> 10(2)</w:t>
      </w:r>
      <w:r>
        <w:rPr>
          <w:rFonts w:ascii="Arial" w:hAnsi="Arial" w:cs="Arial"/>
          <w:sz w:val="28"/>
          <w:szCs w:val="28"/>
          <w:lang w:val="el-GR"/>
        </w:rPr>
        <w:t xml:space="preserve"> του </w:t>
      </w:r>
      <w:r w:rsidR="00206621" w:rsidRPr="00C414BE">
        <w:rPr>
          <w:rFonts w:ascii="Arial" w:hAnsi="Arial" w:cs="Arial"/>
          <w:b/>
          <w:bCs/>
          <w:i/>
          <w:iCs/>
          <w:sz w:val="28"/>
          <w:szCs w:val="28"/>
          <w:lang w:val="el-GR"/>
        </w:rPr>
        <w:t>Κ</w:t>
      </w:r>
      <w:r w:rsidRPr="00C414BE">
        <w:rPr>
          <w:rFonts w:ascii="Arial" w:hAnsi="Arial" w:cs="Arial"/>
          <w:b/>
          <w:bCs/>
          <w:i/>
          <w:iCs/>
          <w:sz w:val="28"/>
          <w:szCs w:val="28"/>
          <w:lang w:val="el-GR"/>
        </w:rPr>
        <w:t>εφ.219</w:t>
      </w:r>
      <w:r>
        <w:rPr>
          <w:rFonts w:ascii="Arial" w:hAnsi="Arial" w:cs="Arial"/>
          <w:sz w:val="28"/>
          <w:szCs w:val="28"/>
          <w:lang w:val="el-GR"/>
        </w:rPr>
        <w:t>, προϋποθέτει και την υλοποίηση της πολεοδομικής και της οικοδομικής άδειας διαίρεσης γης</w:t>
      </w:r>
      <w:r w:rsidR="00206621">
        <w:rPr>
          <w:rFonts w:ascii="Arial" w:hAnsi="Arial" w:cs="Arial"/>
          <w:sz w:val="28"/>
          <w:szCs w:val="28"/>
          <w:lang w:val="el-GR"/>
        </w:rPr>
        <w:t xml:space="preserve"> (πρώτος λόγος έφεσης)</w:t>
      </w:r>
      <w:r w:rsidR="00B6571A">
        <w:rPr>
          <w:rFonts w:ascii="Arial" w:hAnsi="Arial" w:cs="Arial"/>
          <w:sz w:val="28"/>
          <w:szCs w:val="28"/>
          <w:lang w:val="el-GR"/>
        </w:rPr>
        <w:t>,</w:t>
      </w:r>
      <w:r w:rsidR="00206621">
        <w:rPr>
          <w:rFonts w:ascii="Arial" w:hAnsi="Arial" w:cs="Arial"/>
          <w:sz w:val="28"/>
          <w:szCs w:val="28"/>
          <w:lang w:val="el-GR"/>
        </w:rPr>
        <w:t xml:space="preserve">  </w:t>
      </w:r>
      <w:r w:rsidR="00B6571A">
        <w:rPr>
          <w:rFonts w:ascii="Arial" w:hAnsi="Arial" w:cs="Arial"/>
          <w:sz w:val="28"/>
          <w:szCs w:val="28"/>
          <w:lang w:val="el-GR"/>
        </w:rPr>
        <w:t>λ</w:t>
      </w:r>
      <w:r w:rsidRPr="006C2D40">
        <w:rPr>
          <w:rFonts w:ascii="Arial" w:hAnsi="Arial" w:cs="Arial"/>
          <w:sz w:val="28"/>
          <w:szCs w:val="28"/>
          <w:lang w:val="el-GR"/>
        </w:rPr>
        <w:t xml:space="preserve">ανθασμένα </w:t>
      </w:r>
      <w:r w:rsidR="00206621">
        <w:rPr>
          <w:rFonts w:ascii="Arial" w:hAnsi="Arial" w:cs="Arial"/>
          <w:sz w:val="28"/>
          <w:szCs w:val="28"/>
          <w:lang w:val="el-GR"/>
        </w:rPr>
        <w:t xml:space="preserve">δε </w:t>
      </w:r>
      <w:r>
        <w:rPr>
          <w:rFonts w:ascii="Arial" w:hAnsi="Arial" w:cs="Arial"/>
          <w:sz w:val="28"/>
          <w:szCs w:val="28"/>
          <w:lang w:val="el-GR"/>
        </w:rPr>
        <w:t>ερμήνευσε τη φράση «ανεξάρτητα με τη νομική τους κατάσταση κατά το χρόνο συνομολόγησης της σύμβασης πώλησης» του</w:t>
      </w:r>
      <w:r w:rsidR="00B6571A">
        <w:rPr>
          <w:rFonts w:ascii="Arial" w:hAnsi="Arial" w:cs="Arial"/>
          <w:sz w:val="28"/>
          <w:szCs w:val="28"/>
          <w:lang w:val="el-GR"/>
        </w:rPr>
        <w:t xml:space="preserve"> ως άνω</w:t>
      </w:r>
      <w:r>
        <w:rPr>
          <w:rFonts w:ascii="Arial" w:hAnsi="Arial" w:cs="Arial"/>
          <w:sz w:val="28"/>
          <w:szCs w:val="28"/>
          <w:lang w:val="el-GR"/>
        </w:rPr>
        <w:t xml:space="preserve"> άρθρου, ως ήταν τότε, με τρόπο που να προϋποθέτει την υλοποίηση της Πολεοδομικής ΄</w:t>
      </w:r>
      <w:proofErr w:type="spellStart"/>
      <w:r>
        <w:rPr>
          <w:rFonts w:ascii="Arial" w:hAnsi="Arial" w:cs="Arial"/>
          <w:sz w:val="28"/>
          <w:szCs w:val="28"/>
          <w:lang w:val="el-GR"/>
        </w:rPr>
        <w:t>Αδειας</w:t>
      </w:r>
      <w:proofErr w:type="spellEnd"/>
      <w:r w:rsidR="00206621">
        <w:rPr>
          <w:rFonts w:ascii="Arial" w:hAnsi="Arial" w:cs="Arial"/>
          <w:sz w:val="28"/>
          <w:szCs w:val="28"/>
          <w:lang w:val="el-GR"/>
        </w:rPr>
        <w:t xml:space="preserve">  (δεύτερος λόγος έφεσης) </w:t>
      </w:r>
      <w:r w:rsidR="00B6571A">
        <w:rPr>
          <w:rFonts w:ascii="Arial" w:hAnsi="Arial" w:cs="Arial"/>
          <w:sz w:val="28"/>
          <w:szCs w:val="28"/>
          <w:lang w:val="el-GR"/>
        </w:rPr>
        <w:t>και</w:t>
      </w:r>
      <w:r w:rsidR="00206621">
        <w:rPr>
          <w:rFonts w:ascii="Arial" w:hAnsi="Arial" w:cs="Arial"/>
          <w:sz w:val="28"/>
          <w:szCs w:val="28"/>
          <w:lang w:val="el-GR"/>
        </w:rPr>
        <w:t xml:space="preserve"> λ</w:t>
      </w:r>
      <w:r w:rsidRPr="006C2D40">
        <w:rPr>
          <w:rFonts w:ascii="Arial" w:hAnsi="Arial" w:cs="Arial"/>
          <w:sz w:val="28"/>
          <w:szCs w:val="28"/>
          <w:lang w:val="el-GR"/>
        </w:rPr>
        <w:t xml:space="preserve">ανθασμένα </w:t>
      </w:r>
      <w:r>
        <w:rPr>
          <w:rFonts w:ascii="Arial" w:hAnsi="Arial" w:cs="Arial"/>
          <w:sz w:val="28"/>
          <w:szCs w:val="28"/>
          <w:lang w:val="el-GR"/>
        </w:rPr>
        <w:t xml:space="preserve">αποφάσισε πως οι πρόνοιες του </w:t>
      </w:r>
      <w:r w:rsidR="00B6571A">
        <w:rPr>
          <w:rFonts w:ascii="Arial" w:hAnsi="Arial" w:cs="Arial"/>
          <w:sz w:val="28"/>
          <w:szCs w:val="28"/>
          <w:lang w:val="el-GR"/>
        </w:rPr>
        <w:t xml:space="preserve">ως άνω </w:t>
      </w:r>
      <w:r w:rsidR="0083403F">
        <w:rPr>
          <w:rFonts w:ascii="Arial" w:hAnsi="Arial" w:cs="Arial"/>
          <w:sz w:val="28"/>
          <w:szCs w:val="28"/>
          <w:lang w:val="el-GR"/>
        </w:rPr>
        <w:t xml:space="preserve">άρθρου </w:t>
      </w:r>
      <w:r>
        <w:rPr>
          <w:rFonts w:ascii="Arial" w:hAnsi="Arial" w:cs="Arial"/>
          <w:sz w:val="28"/>
          <w:szCs w:val="28"/>
          <w:lang w:val="el-GR"/>
        </w:rPr>
        <w:t xml:space="preserve">δεν τυγχάνουν εφαρμογής στην περίπτωση του </w:t>
      </w:r>
      <w:r w:rsidR="0083403F">
        <w:rPr>
          <w:rFonts w:ascii="Arial" w:hAnsi="Arial" w:cs="Arial"/>
          <w:sz w:val="28"/>
          <w:szCs w:val="28"/>
          <w:lang w:val="el-GR"/>
        </w:rPr>
        <w:t xml:space="preserve">επίδικου </w:t>
      </w:r>
      <w:r>
        <w:rPr>
          <w:rFonts w:ascii="Arial" w:hAnsi="Arial" w:cs="Arial"/>
          <w:sz w:val="28"/>
          <w:szCs w:val="28"/>
          <w:lang w:val="el-GR"/>
        </w:rPr>
        <w:t xml:space="preserve">ακινήτου </w:t>
      </w:r>
      <w:r w:rsidR="00206621">
        <w:rPr>
          <w:rFonts w:ascii="Arial" w:hAnsi="Arial" w:cs="Arial"/>
          <w:sz w:val="28"/>
          <w:szCs w:val="28"/>
          <w:lang w:val="el-GR"/>
        </w:rPr>
        <w:t>(τρίτος λόγος έφεσης).</w:t>
      </w:r>
    </w:p>
    <w:p w14:paraId="2BAA7990" w14:textId="77777777" w:rsidR="006C2D40" w:rsidRDefault="006C2D40" w:rsidP="00FD4789">
      <w:pPr>
        <w:spacing w:line="480" w:lineRule="auto"/>
        <w:ind w:right="237"/>
        <w:jc w:val="both"/>
        <w:rPr>
          <w:rFonts w:ascii="Arial" w:hAnsi="Arial" w:cs="Arial"/>
          <w:sz w:val="28"/>
          <w:szCs w:val="28"/>
          <w:lang w:val="el-GR"/>
        </w:rPr>
      </w:pPr>
    </w:p>
    <w:p w14:paraId="3F8987AB" w14:textId="31C39393" w:rsidR="00ED4D30" w:rsidRDefault="00ED4D30" w:rsidP="00FD4789">
      <w:pPr>
        <w:spacing w:line="480" w:lineRule="auto"/>
        <w:ind w:right="237"/>
        <w:jc w:val="both"/>
        <w:rPr>
          <w:rFonts w:ascii="Arial" w:hAnsi="Arial" w:cs="Arial"/>
          <w:sz w:val="28"/>
          <w:szCs w:val="28"/>
          <w:lang w:val="el-GR"/>
        </w:rPr>
      </w:pPr>
      <w:r>
        <w:rPr>
          <w:rFonts w:ascii="Arial" w:hAnsi="Arial" w:cs="Arial"/>
          <w:sz w:val="28"/>
          <w:szCs w:val="28"/>
          <w:lang w:val="el-GR"/>
        </w:rPr>
        <w:lastRenderedPageBreak/>
        <w:t>Και οι τρεις λόγοι είναι αλληλένδε</w:t>
      </w:r>
      <w:r w:rsidR="006C2D40">
        <w:rPr>
          <w:rFonts w:ascii="Arial" w:hAnsi="Arial" w:cs="Arial"/>
          <w:sz w:val="28"/>
          <w:szCs w:val="28"/>
          <w:lang w:val="el-GR"/>
        </w:rPr>
        <w:t>τοι</w:t>
      </w:r>
      <w:r>
        <w:rPr>
          <w:rFonts w:ascii="Arial" w:hAnsi="Arial" w:cs="Arial"/>
          <w:sz w:val="28"/>
          <w:szCs w:val="28"/>
          <w:lang w:val="el-GR"/>
        </w:rPr>
        <w:t xml:space="preserve"> και επιβάλλεται </w:t>
      </w:r>
      <w:r w:rsidR="00206621">
        <w:rPr>
          <w:rFonts w:ascii="Arial" w:hAnsi="Arial" w:cs="Arial"/>
          <w:sz w:val="28"/>
          <w:szCs w:val="28"/>
          <w:lang w:val="el-GR"/>
        </w:rPr>
        <w:t xml:space="preserve">να εξεταστούν στο αυτό πλαίσιο αφού ουσιαστικά αφορούν το ερώτημα του κατά πόσο είναι δυνατή εφαρμογή των προνοιών του επίμαχου </w:t>
      </w:r>
      <w:r w:rsidR="00B6571A">
        <w:rPr>
          <w:rFonts w:ascii="Arial" w:hAnsi="Arial" w:cs="Arial"/>
          <w:sz w:val="28"/>
          <w:szCs w:val="28"/>
          <w:lang w:val="el-GR"/>
        </w:rPr>
        <w:t>ά</w:t>
      </w:r>
      <w:r w:rsidR="00206621">
        <w:rPr>
          <w:rFonts w:ascii="Arial" w:hAnsi="Arial" w:cs="Arial"/>
          <w:sz w:val="28"/>
          <w:szCs w:val="28"/>
          <w:lang w:val="el-GR"/>
        </w:rPr>
        <w:t>ρθρου, σε περιπτώσεις πώλησης χωραφιού και όχι «οικοπέδου, κτιρίων ή τμημάτων τους».</w:t>
      </w:r>
    </w:p>
    <w:p w14:paraId="0CB5FA95" w14:textId="77777777" w:rsidR="00206621" w:rsidRDefault="00206621" w:rsidP="00FD4789">
      <w:pPr>
        <w:spacing w:line="480" w:lineRule="auto"/>
        <w:ind w:right="237"/>
        <w:jc w:val="both"/>
        <w:rPr>
          <w:rFonts w:ascii="Arial" w:hAnsi="Arial" w:cs="Arial"/>
          <w:sz w:val="28"/>
          <w:szCs w:val="28"/>
          <w:lang w:val="el-GR"/>
        </w:rPr>
      </w:pPr>
    </w:p>
    <w:p w14:paraId="05E78F23" w14:textId="65848B23" w:rsidR="00206621" w:rsidRDefault="00206621" w:rsidP="00FD4789">
      <w:pPr>
        <w:spacing w:line="480" w:lineRule="auto"/>
        <w:ind w:right="237"/>
        <w:jc w:val="both"/>
        <w:rPr>
          <w:rFonts w:ascii="Arial" w:hAnsi="Arial" w:cs="Arial"/>
          <w:sz w:val="28"/>
          <w:szCs w:val="28"/>
          <w:lang w:val="el-GR"/>
        </w:rPr>
      </w:pPr>
      <w:r>
        <w:rPr>
          <w:rFonts w:ascii="Arial" w:hAnsi="Arial" w:cs="Arial"/>
          <w:sz w:val="28"/>
          <w:szCs w:val="28"/>
          <w:lang w:val="el-GR"/>
        </w:rPr>
        <w:t xml:space="preserve">Δέον να σημειωθεί πως οι </w:t>
      </w:r>
      <w:proofErr w:type="spellStart"/>
      <w:r>
        <w:rPr>
          <w:rFonts w:ascii="Arial" w:hAnsi="Arial" w:cs="Arial"/>
          <w:sz w:val="28"/>
          <w:szCs w:val="28"/>
          <w:lang w:val="el-GR"/>
        </w:rPr>
        <w:t>Εφεσείοντες</w:t>
      </w:r>
      <w:proofErr w:type="spellEnd"/>
      <w:r>
        <w:rPr>
          <w:rFonts w:ascii="Arial" w:hAnsi="Arial" w:cs="Arial"/>
          <w:sz w:val="28"/>
          <w:szCs w:val="28"/>
          <w:lang w:val="el-GR"/>
        </w:rPr>
        <w:t xml:space="preserve"> ουδέποτε αμφισβήτησαν πως το επίδικο ακίνητο δεν ήταν οικόπεδο.  Προώθησαν όμως τη θέση, την οποία επαναλαμβάνουν και στην εφετειακή διαδικασία πως «το μεταβιβασθέν ακίνητο προορίζεται για οικοδόμηση», αφού </w:t>
      </w:r>
      <w:proofErr w:type="spellStart"/>
      <w:r>
        <w:rPr>
          <w:rFonts w:ascii="Arial" w:hAnsi="Arial" w:cs="Arial"/>
          <w:sz w:val="28"/>
          <w:szCs w:val="28"/>
          <w:lang w:val="el-GR"/>
        </w:rPr>
        <w:t>επ΄αυτού</w:t>
      </w:r>
      <w:proofErr w:type="spellEnd"/>
      <w:r>
        <w:rPr>
          <w:rFonts w:ascii="Arial" w:hAnsi="Arial" w:cs="Arial"/>
          <w:sz w:val="28"/>
          <w:szCs w:val="28"/>
          <w:lang w:val="el-GR"/>
        </w:rPr>
        <w:t xml:space="preserve"> είχε εκδοθεί </w:t>
      </w:r>
      <w:r w:rsidRPr="00525275">
        <w:rPr>
          <w:rFonts w:ascii="Arial" w:hAnsi="Arial" w:cs="Arial"/>
          <w:sz w:val="28"/>
          <w:szCs w:val="28"/>
          <w:lang w:val="el-GR"/>
        </w:rPr>
        <w:t>πολεοδομική άδεια για το διαχωρισμό του σε οικόπεδα</w:t>
      </w:r>
      <w:r>
        <w:rPr>
          <w:rFonts w:ascii="Arial" w:hAnsi="Arial" w:cs="Arial"/>
          <w:sz w:val="28"/>
          <w:szCs w:val="28"/>
          <w:lang w:val="el-GR"/>
        </w:rPr>
        <w:t xml:space="preserve"> </w:t>
      </w:r>
      <w:r w:rsidR="00525275">
        <w:rPr>
          <w:rFonts w:ascii="Arial" w:hAnsi="Arial" w:cs="Arial"/>
          <w:sz w:val="28"/>
          <w:szCs w:val="28"/>
          <w:lang w:val="el-GR"/>
        </w:rPr>
        <w:t xml:space="preserve">(και δη σε επτά οικόπεδα) </w:t>
      </w:r>
      <w:r>
        <w:rPr>
          <w:rFonts w:ascii="Arial" w:hAnsi="Arial" w:cs="Arial"/>
          <w:sz w:val="28"/>
          <w:szCs w:val="28"/>
          <w:lang w:val="el-GR"/>
        </w:rPr>
        <w:t>καθώς επίσης και οικοδομική άδεια για διαίρεση γης.</w:t>
      </w:r>
    </w:p>
    <w:p w14:paraId="2720BD2C" w14:textId="77777777" w:rsidR="00206621" w:rsidRDefault="00206621" w:rsidP="00FD4789">
      <w:pPr>
        <w:spacing w:line="480" w:lineRule="auto"/>
        <w:ind w:right="237"/>
        <w:jc w:val="both"/>
        <w:rPr>
          <w:rFonts w:ascii="Arial" w:hAnsi="Arial" w:cs="Arial"/>
          <w:sz w:val="28"/>
          <w:szCs w:val="28"/>
          <w:lang w:val="el-GR"/>
        </w:rPr>
      </w:pPr>
    </w:p>
    <w:p w14:paraId="5F1F1162" w14:textId="2CF83928" w:rsidR="00525275" w:rsidRPr="00525275" w:rsidRDefault="00206621" w:rsidP="00FD4789">
      <w:pPr>
        <w:pStyle w:val="kanonikh"/>
        <w:spacing w:before="0" w:beforeAutospacing="0" w:after="0" w:afterAutospacing="0" w:line="480" w:lineRule="auto"/>
        <w:ind w:right="237"/>
        <w:jc w:val="both"/>
        <w:rPr>
          <w:rFonts w:ascii="Arial" w:hAnsi="Arial" w:cs="Arial"/>
          <w:color w:val="000000"/>
          <w:sz w:val="28"/>
          <w:szCs w:val="28"/>
        </w:rPr>
      </w:pPr>
      <w:r w:rsidRPr="00525275">
        <w:rPr>
          <w:rFonts w:ascii="Arial" w:hAnsi="Arial" w:cs="Arial"/>
          <w:sz w:val="28"/>
          <w:szCs w:val="28"/>
          <w:lang w:val="el-GR"/>
        </w:rPr>
        <w:t xml:space="preserve">Είναι γεγονός πως </w:t>
      </w:r>
      <w:proofErr w:type="spellStart"/>
      <w:r w:rsidR="0083403F">
        <w:rPr>
          <w:rFonts w:ascii="Arial" w:hAnsi="Arial" w:cs="Arial"/>
          <w:sz w:val="28"/>
          <w:szCs w:val="28"/>
          <w:lang w:val="el-GR"/>
        </w:rPr>
        <w:t>παρα</w:t>
      </w:r>
      <w:r w:rsidRPr="00525275">
        <w:rPr>
          <w:rFonts w:ascii="Arial" w:hAnsi="Arial" w:cs="Arial"/>
          <w:sz w:val="28"/>
          <w:szCs w:val="28"/>
          <w:lang w:val="el-GR"/>
        </w:rPr>
        <w:t>χορ</w:t>
      </w:r>
      <w:r w:rsidR="0083403F">
        <w:rPr>
          <w:rFonts w:ascii="Arial" w:hAnsi="Arial" w:cs="Arial"/>
          <w:sz w:val="28"/>
          <w:szCs w:val="28"/>
          <w:lang w:val="el-GR"/>
        </w:rPr>
        <w:t>ήθηκε</w:t>
      </w:r>
      <w:proofErr w:type="spellEnd"/>
      <w:r w:rsidRPr="00525275">
        <w:rPr>
          <w:rFonts w:ascii="Arial" w:hAnsi="Arial" w:cs="Arial"/>
          <w:sz w:val="28"/>
          <w:szCs w:val="28"/>
          <w:lang w:val="el-GR"/>
        </w:rPr>
        <w:t xml:space="preserve"> από την </w:t>
      </w:r>
      <w:r w:rsidR="00525275" w:rsidRPr="00525275">
        <w:rPr>
          <w:rFonts w:ascii="Arial" w:hAnsi="Arial" w:cs="Arial"/>
          <w:color w:val="000000"/>
          <w:sz w:val="28"/>
          <w:szCs w:val="28"/>
        </w:rPr>
        <w:t>Πολεοδομική Αρχή γνωστοποίηση χορήγησης πολεοδομικής άδειας ημερομηνίας 9.12.2010, για το διαχωρισμό του επίδικου ακινήτου σε επτά οικόπεδα. Στις 26.10.2011 η Πολεοδομική Αρχή εξέδωσε σε συνέχεια της ήδη χορηγούμενης πολεοδομικής άδειας</w:t>
      </w:r>
      <w:r w:rsidR="00723D59">
        <w:rPr>
          <w:rFonts w:ascii="Arial" w:hAnsi="Arial" w:cs="Arial"/>
          <w:color w:val="000000"/>
          <w:sz w:val="28"/>
          <w:szCs w:val="28"/>
          <w:lang w:val="el-GR"/>
        </w:rPr>
        <w:t>,</w:t>
      </w:r>
      <w:r w:rsidR="00525275" w:rsidRPr="00525275">
        <w:rPr>
          <w:rFonts w:ascii="Arial" w:hAnsi="Arial" w:cs="Arial"/>
          <w:color w:val="000000"/>
          <w:sz w:val="28"/>
          <w:szCs w:val="28"/>
        </w:rPr>
        <w:t xml:space="preserve"> έγκριση τροποποιημένων σχεδίων διαχωρισμού. Ο Δήμος Λεμεσού, ως Αρμόδια Αρχή χορήγησε την οικοδομική άδεια</w:t>
      </w:r>
      <w:r w:rsidR="00723D59">
        <w:rPr>
          <w:rFonts w:ascii="Arial" w:hAnsi="Arial" w:cs="Arial"/>
          <w:color w:val="000000"/>
          <w:sz w:val="28"/>
          <w:szCs w:val="28"/>
          <w:lang w:val="el-GR"/>
        </w:rPr>
        <w:t>,</w:t>
      </w:r>
      <w:r w:rsidR="00525275" w:rsidRPr="00525275">
        <w:rPr>
          <w:rFonts w:ascii="Arial" w:hAnsi="Arial" w:cs="Arial"/>
          <w:color w:val="000000"/>
          <w:sz w:val="28"/>
          <w:szCs w:val="28"/>
        </w:rPr>
        <w:t xml:space="preserve"> ημερομηνίας 4.9.2013, με ισχύ μέχρι την 8.12.2015, για το διαχωρισμ</w:t>
      </w:r>
      <w:r w:rsidR="00B6571A">
        <w:rPr>
          <w:rFonts w:ascii="Arial" w:hAnsi="Arial" w:cs="Arial"/>
          <w:color w:val="000000"/>
          <w:sz w:val="28"/>
          <w:szCs w:val="28"/>
          <w:lang w:val="el-GR"/>
        </w:rPr>
        <w:t>ό</w:t>
      </w:r>
      <w:r w:rsidR="00525275" w:rsidRPr="00525275">
        <w:rPr>
          <w:rFonts w:ascii="Arial" w:hAnsi="Arial" w:cs="Arial"/>
          <w:color w:val="000000"/>
          <w:sz w:val="28"/>
          <w:szCs w:val="28"/>
        </w:rPr>
        <w:t xml:space="preserve"> του επίδικου ακινήτου.</w:t>
      </w:r>
    </w:p>
    <w:p w14:paraId="45EAB431" w14:textId="77777777" w:rsidR="00525275" w:rsidRPr="00525275" w:rsidRDefault="00525275" w:rsidP="00FD4789">
      <w:pPr>
        <w:pStyle w:val="kanonikh"/>
        <w:spacing w:before="0" w:beforeAutospacing="0" w:after="0" w:afterAutospacing="0" w:line="480" w:lineRule="auto"/>
        <w:ind w:right="237"/>
        <w:jc w:val="both"/>
        <w:rPr>
          <w:rFonts w:ascii="Arial" w:hAnsi="Arial" w:cs="Arial"/>
          <w:color w:val="000000"/>
          <w:sz w:val="28"/>
          <w:szCs w:val="28"/>
        </w:rPr>
      </w:pPr>
      <w:r w:rsidRPr="00525275">
        <w:rPr>
          <w:rFonts w:ascii="Arial" w:hAnsi="Arial" w:cs="Arial"/>
          <w:color w:val="000000"/>
          <w:sz w:val="28"/>
          <w:szCs w:val="28"/>
        </w:rPr>
        <w:lastRenderedPageBreak/>
        <w:t> </w:t>
      </w:r>
    </w:p>
    <w:p w14:paraId="580FA29A" w14:textId="77777777" w:rsidR="00525275" w:rsidRPr="00525275" w:rsidRDefault="00525275" w:rsidP="00FD4789">
      <w:pPr>
        <w:pStyle w:val="kanonikh"/>
        <w:spacing w:before="0" w:beforeAutospacing="0" w:after="0" w:afterAutospacing="0" w:line="480" w:lineRule="auto"/>
        <w:ind w:right="237"/>
        <w:jc w:val="both"/>
        <w:rPr>
          <w:rFonts w:ascii="Arial" w:hAnsi="Arial" w:cs="Arial"/>
          <w:color w:val="000000"/>
          <w:sz w:val="28"/>
          <w:szCs w:val="28"/>
        </w:rPr>
      </w:pPr>
      <w:r w:rsidRPr="00525275">
        <w:rPr>
          <w:rFonts w:ascii="Arial" w:hAnsi="Arial" w:cs="Arial"/>
          <w:color w:val="000000"/>
          <w:sz w:val="28"/>
          <w:szCs w:val="28"/>
        </w:rPr>
        <w:t>Προκύπτει, επίσης, από τα έγγραφα που περιέχονται στην Ένσταση, ότι παροχείς ηλεκτρονικών επικοινωνιών, με επιστολές τους κατά τον Οκτώβριο και Νοέμβριο του 2013, έθεταν συγκεκριμένους όρους για ολοκλήρωση εργασιών για την κατασκευή δικτύου ηλεκτρονικών επικοινωνιών, έτσι ώστε να είναι δυνατή η μελλοντική παροχή τηλεπικοινωνιακής υπηρεσίας. Ομοίως και η Αρχή Ηλεκτρισμού Κύπρου, για την κατασκευή επίγειου υποσταθμού διανομής, διασωληνώσεων, ηλεκτροδότησης.</w:t>
      </w:r>
    </w:p>
    <w:p w14:paraId="3A7F4AFD" w14:textId="6ADDCFE0" w:rsidR="00206621" w:rsidRPr="00525275" w:rsidRDefault="00206621" w:rsidP="00FD4789">
      <w:pPr>
        <w:spacing w:line="480" w:lineRule="auto"/>
        <w:ind w:right="237"/>
        <w:jc w:val="both"/>
        <w:rPr>
          <w:rFonts w:ascii="Arial" w:hAnsi="Arial" w:cs="Arial"/>
          <w:sz w:val="28"/>
          <w:szCs w:val="28"/>
        </w:rPr>
      </w:pPr>
    </w:p>
    <w:p w14:paraId="13D3D881" w14:textId="48AADA06" w:rsidR="0098157B" w:rsidRDefault="0098157B" w:rsidP="00FD4789">
      <w:pPr>
        <w:spacing w:line="480" w:lineRule="auto"/>
        <w:ind w:right="237"/>
        <w:jc w:val="both"/>
        <w:rPr>
          <w:rFonts w:ascii="Arial" w:hAnsi="Arial" w:cs="Arial"/>
          <w:sz w:val="28"/>
          <w:szCs w:val="28"/>
          <w:lang w:val="el-GR"/>
        </w:rPr>
      </w:pPr>
      <w:r>
        <w:rPr>
          <w:rFonts w:ascii="Arial" w:hAnsi="Arial" w:cs="Arial"/>
          <w:sz w:val="28"/>
          <w:szCs w:val="28"/>
          <w:lang w:val="el-GR"/>
        </w:rPr>
        <w:t xml:space="preserve">Τα πιο πάνω γεγονότα είναι βεβαίως δεδομένα.  Τίθεται όμως περαιτέρω το ερώτημα:  </w:t>
      </w:r>
      <w:r w:rsidR="006C0A59">
        <w:rPr>
          <w:rFonts w:ascii="Arial" w:hAnsi="Arial" w:cs="Arial"/>
          <w:sz w:val="28"/>
          <w:szCs w:val="28"/>
          <w:lang w:val="el-GR"/>
        </w:rPr>
        <w:t>ε</w:t>
      </w:r>
      <w:r>
        <w:rPr>
          <w:rFonts w:ascii="Arial" w:hAnsi="Arial" w:cs="Arial"/>
          <w:sz w:val="28"/>
          <w:szCs w:val="28"/>
          <w:lang w:val="el-GR"/>
        </w:rPr>
        <w:t xml:space="preserve">ίναι αρκετά ή ικανοποιητικά να προσδώσουν στο επίδικο ακίνητο την έννοια του «οικοπέδου», ώστε να εφαρμόζεται το επίμαχο άρθρο και </w:t>
      </w:r>
      <w:r w:rsidR="00525275">
        <w:rPr>
          <w:rFonts w:ascii="Arial" w:hAnsi="Arial" w:cs="Arial"/>
          <w:sz w:val="28"/>
          <w:szCs w:val="28"/>
          <w:lang w:val="el-GR"/>
        </w:rPr>
        <w:t xml:space="preserve">οι </w:t>
      </w:r>
      <w:proofErr w:type="spellStart"/>
      <w:r w:rsidR="00525275">
        <w:rPr>
          <w:rFonts w:ascii="Arial" w:hAnsi="Arial" w:cs="Arial"/>
          <w:sz w:val="28"/>
          <w:szCs w:val="28"/>
          <w:lang w:val="el-GR"/>
        </w:rPr>
        <w:t>Εφεσείοντες</w:t>
      </w:r>
      <w:proofErr w:type="spellEnd"/>
      <w:r w:rsidR="00525275">
        <w:rPr>
          <w:rFonts w:ascii="Arial" w:hAnsi="Arial" w:cs="Arial"/>
          <w:sz w:val="28"/>
          <w:szCs w:val="28"/>
          <w:lang w:val="el-GR"/>
        </w:rPr>
        <w:t xml:space="preserve"> </w:t>
      </w:r>
      <w:r>
        <w:rPr>
          <w:rFonts w:ascii="Arial" w:hAnsi="Arial" w:cs="Arial"/>
          <w:sz w:val="28"/>
          <w:szCs w:val="28"/>
          <w:lang w:val="el-GR"/>
        </w:rPr>
        <w:t>να τύχ</w:t>
      </w:r>
      <w:r w:rsidR="00525275">
        <w:rPr>
          <w:rFonts w:ascii="Arial" w:hAnsi="Arial" w:cs="Arial"/>
          <w:sz w:val="28"/>
          <w:szCs w:val="28"/>
          <w:lang w:val="el-GR"/>
        </w:rPr>
        <w:t>ουν</w:t>
      </w:r>
      <w:r>
        <w:rPr>
          <w:rFonts w:ascii="Arial" w:hAnsi="Arial" w:cs="Arial"/>
          <w:sz w:val="28"/>
          <w:szCs w:val="28"/>
          <w:lang w:val="el-GR"/>
        </w:rPr>
        <w:t xml:space="preserve"> του ευεργετήματος του μειωμένου συντελεστή τελών</w:t>
      </w:r>
      <w:r w:rsidR="00525275">
        <w:rPr>
          <w:rFonts w:ascii="Arial" w:hAnsi="Arial" w:cs="Arial"/>
          <w:sz w:val="28"/>
          <w:szCs w:val="28"/>
          <w:lang w:val="el-GR"/>
        </w:rPr>
        <w:t xml:space="preserve">, αφού κατά το χρόνο κατάθεσης της δήλωσης μεταβίβασης, το ακίνητο δεν είχε διαχωριστεί και </w:t>
      </w:r>
      <w:r w:rsidR="00723D59">
        <w:rPr>
          <w:rFonts w:ascii="Arial" w:hAnsi="Arial" w:cs="Arial"/>
          <w:sz w:val="28"/>
          <w:szCs w:val="28"/>
          <w:lang w:val="el-GR"/>
        </w:rPr>
        <w:t>οι</w:t>
      </w:r>
      <w:r w:rsidR="00525275">
        <w:rPr>
          <w:rFonts w:ascii="Arial" w:hAnsi="Arial" w:cs="Arial"/>
          <w:sz w:val="28"/>
          <w:szCs w:val="28"/>
          <w:lang w:val="el-GR"/>
        </w:rPr>
        <w:t xml:space="preserve"> προς τούτο άδειες διαίρεσης γης δεν είχαν ακόμη υλοποιηθεί</w:t>
      </w:r>
      <w:r>
        <w:rPr>
          <w:rFonts w:ascii="Arial" w:hAnsi="Arial" w:cs="Arial"/>
          <w:sz w:val="28"/>
          <w:szCs w:val="28"/>
          <w:lang w:val="el-GR"/>
        </w:rPr>
        <w:t>.</w:t>
      </w:r>
    </w:p>
    <w:p w14:paraId="3A641BC8" w14:textId="77777777" w:rsidR="0098157B" w:rsidRDefault="0098157B" w:rsidP="00FD4789">
      <w:pPr>
        <w:spacing w:line="480" w:lineRule="auto"/>
        <w:ind w:right="237"/>
        <w:jc w:val="both"/>
        <w:rPr>
          <w:rFonts w:ascii="Arial" w:hAnsi="Arial" w:cs="Arial"/>
          <w:sz w:val="28"/>
          <w:szCs w:val="28"/>
          <w:lang w:val="el-GR"/>
        </w:rPr>
      </w:pPr>
    </w:p>
    <w:p w14:paraId="376B78F4" w14:textId="50123FD4" w:rsidR="0098157B" w:rsidRDefault="0098157B" w:rsidP="00FD4789">
      <w:pPr>
        <w:spacing w:line="480" w:lineRule="auto"/>
        <w:ind w:right="237"/>
        <w:jc w:val="both"/>
        <w:rPr>
          <w:rFonts w:ascii="Arial" w:hAnsi="Arial" w:cs="Arial"/>
          <w:sz w:val="28"/>
          <w:szCs w:val="28"/>
          <w:lang w:val="el-GR"/>
        </w:rPr>
      </w:pPr>
      <w:r>
        <w:rPr>
          <w:rFonts w:ascii="Arial" w:hAnsi="Arial" w:cs="Arial"/>
          <w:sz w:val="28"/>
          <w:szCs w:val="28"/>
          <w:lang w:val="el-GR"/>
        </w:rPr>
        <w:t xml:space="preserve">Οι </w:t>
      </w:r>
      <w:proofErr w:type="spellStart"/>
      <w:r>
        <w:rPr>
          <w:rFonts w:ascii="Arial" w:hAnsi="Arial" w:cs="Arial"/>
          <w:sz w:val="28"/>
          <w:szCs w:val="28"/>
          <w:lang w:val="el-GR"/>
        </w:rPr>
        <w:t>ευπαίδευτοι</w:t>
      </w:r>
      <w:proofErr w:type="spellEnd"/>
      <w:r>
        <w:rPr>
          <w:rFonts w:ascii="Arial" w:hAnsi="Arial" w:cs="Arial"/>
          <w:sz w:val="28"/>
          <w:szCs w:val="28"/>
          <w:lang w:val="el-GR"/>
        </w:rPr>
        <w:t xml:space="preserve"> συνήγοροι των </w:t>
      </w:r>
      <w:proofErr w:type="spellStart"/>
      <w:r>
        <w:rPr>
          <w:rFonts w:ascii="Arial" w:hAnsi="Arial" w:cs="Arial"/>
          <w:sz w:val="28"/>
          <w:szCs w:val="28"/>
          <w:lang w:val="el-GR"/>
        </w:rPr>
        <w:t>Εφεσειόντων</w:t>
      </w:r>
      <w:proofErr w:type="spellEnd"/>
      <w:r>
        <w:rPr>
          <w:rFonts w:ascii="Arial" w:hAnsi="Arial" w:cs="Arial"/>
          <w:sz w:val="28"/>
          <w:szCs w:val="28"/>
          <w:lang w:val="el-GR"/>
        </w:rPr>
        <w:t xml:space="preserve"> σημειώνουν</w:t>
      </w:r>
      <w:r w:rsidR="0083403F">
        <w:rPr>
          <w:rFonts w:ascii="Arial" w:hAnsi="Arial" w:cs="Arial"/>
          <w:sz w:val="28"/>
          <w:szCs w:val="28"/>
          <w:lang w:val="el-GR"/>
        </w:rPr>
        <w:t>,</w:t>
      </w:r>
      <w:r>
        <w:rPr>
          <w:rFonts w:ascii="Arial" w:hAnsi="Arial" w:cs="Arial"/>
          <w:sz w:val="28"/>
          <w:szCs w:val="28"/>
          <w:lang w:val="el-GR"/>
        </w:rPr>
        <w:t xml:space="preserve"> με επίκληση (πρωτόδικων) αποφάσεων του Ανωτάτου Δικαστηρίου στην </w:t>
      </w:r>
      <w:r w:rsidRPr="0098157B">
        <w:rPr>
          <w:rFonts w:ascii="Arial" w:hAnsi="Arial" w:cs="Arial"/>
          <w:b/>
          <w:bCs/>
          <w:i/>
          <w:iCs/>
          <w:sz w:val="28"/>
          <w:szCs w:val="28"/>
          <w:lang w:val="el-GR"/>
        </w:rPr>
        <w:t xml:space="preserve">Ελληνική Τράπεζα ν. Δημοκρατίας </w:t>
      </w:r>
      <w:proofErr w:type="spellStart"/>
      <w:r w:rsidRPr="0098157B">
        <w:rPr>
          <w:rFonts w:ascii="Arial" w:hAnsi="Arial" w:cs="Arial"/>
          <w:b/>
          <w:bCs/>
          <w:i/>
          <w:iCs/>
          <w:sz w:val="28"/>
          <w:szCs w:val="28"/>
          <w:lang w:val="el-GR"/>
        </w:rPr>
        <w:t>υπόθ</w:t>
      </w:r>
      <w:proofErr w:type="spellEnd"/>
      <w:r w:rsidRPr="0098157B">
        <w:rPr>
          <w:rFonts w:ascii="Arial" w:hAnsi="Arial" w:cs="Arial"/>
          <w:b/>
          <w:bCs/>
          <w:i/>
          <w:iCs/>
          <w:sz w:val="28"/>
          <w:szCs w:val="28"/>
          <w:lang w:val="el-GR"/>
        </w:rPr>
        <w:t xml:space="preserve">. </w:t>
      </w:r>
      <w:r w:rsidR="006C0A59">
        <w:rPr>
          <w:rFonts w:ascii="Arial" w:hAnsi="Arial" w:cs="Arial"/>
          <w:b/>
          <w:bCs/>
          <w:i/>
          <w:iCs/>
          <w:sz w:val="28"/>
          <w:szCs w:val="28"/>
          <w:lang w:val="el-GR"/>
        </w:rPr>
        <w:t>α</w:t>
      </w:r>
      <w:r w:rsidRPr="0098157B">
        <w:rPr>
          <w:rFonts w:ascii="Arial" w:hAnsi="Arial" w:cs="Arial"/>
          <w:b/>
          <w:bCs/>
          <w:i/>
          <w:iCs/>
          <w:sz w:val="28"/>
          <w:szCs w:val="28"/>
          <w:lang w:val="el-GR"/>
        </w:rPr>
        <w:t>ρ.1324/12</w:t>
      </w:r>
      <w:r w:rsidR="008A7780">
        <w:rPr>
          <w:rFonts w:ascii="Arial" w:hAnsi="Arial" w:cs="Arial"/>
          <w:b/>
          <w:bCs/>
          <w:i/>
          <w:iCs/>
          <w:sz w:val="28"/>
          <w:szCs w:val="28"/>
          <w:lang w:val="el-GR"/>
        </w:rPr>
        <w:t>, 25.9.2013</w:t>
      </w:r>
      <w:r w:rsidR="00B6571A">
        <w:rPr>
          <w:rFonts w:ascii="Arial" w:hAnsi="Arial" w:cs="Arial"/>
          <w:b/>
          <w:bCs/>
          <w:i/>
          <w:iCs/>
          <w:sz w:val="28"/>
          <w:szCs w:val="28"/>
          <w:lang w:val="el-GR"/>
        </w:rPr>
        <w:t>,</w:t>
      </w:r>
      <w:r>
        <w:rPr>
          <w:rFonts w:ascii="Arial" w:hAnsi="Arial" w:cs="Arial"/>
          <w:sz w:val="28"/>
          <w:szCs w:val="28"/>
          <w:lang w:val="el-GR"/>
        </w:rPr>
        <w:t xml:space="preserve"> </w:t>
      </w:r>
      <w:proofErr w:type="spellStart"/>
      <w:r>
        <w:rPr>
          <w:rFonts w:ascii="Arial" w:hAnsi="Arial" w:cs="Arial"/>
          <w:b/>
          <w:bCs/>
          <w:i/>
          <w:iCs/>
          <w:sz w:val="28"/>
          <w:szCs w:val="28"/>
        </w:rPr>
        <w:t>Manifestic</w:t>
      </w:r>
      <w:proofErr w:type="spellEnd"/>
      <w:r w:rsidR="004E6EDE">
        <w:rPr>
          <w:rFonts w:ascii="Arial" w:hAnsi="Arial" w:cs="Arial"/>
          <w:b/>
          <w:bCs/>
          <w:i/>
          <w:iCs/>
          <w:sz w:val="28"/>
          <w:szCs w:val="28"/>
          <w:lang w:val="el-GR"/>
        </w:rPr>
        <w:t>ο</w:t>
      </w:r>
      <w:r w:rsidRPr="0098157B">
        <w:rPr>
          <w:rFonts w:ascii="Arial" w:hAnsi="Arial" w:cs="Arial"/>
          <w:b/>
          <w:bCs/>
          <w:i/>
          <w:iCs/>
          <w:sz w:val="28"/>
          <w:szCs w:val="28"/>
          <w:lang w:val="el-GR"/>
        </w:rPr>
        <w:t xml:space="preserve"> </w:t>
      </w:r>
      <w:r>
        <w:rPr>
          <w:rFonts w:ascii="Arial" w:hAnsi="Arial" w:cs="Arial"/>
          <w:b/>
          <w:bCs/>
          <w:i/>
          <w:iCs/>
          <w:sz w:val="28"/>
          <w:szCs w:val="28"/>
        </w:rPr>
        <w:t>Inv</w:t>
      </w:r>
      <w:r w:rsidR="00855ABB">
        <w:rPr>
          <w:rFonts w:ascii="Arial" w:hAnsi="Arial" w:cs="Arial"/>
          <w:b/>
          <w:bCs/>
          <w:i/>
          <w:iCs/>
          <w:sz w:val="28"/>
          <w:szCs w:val="28"/>
        </w:rPr>
        <w:t>estments</w:t>
      </w:r>
      <w:r w:rsidR="00855ABB" w:rsidRPr="00855ABB">
        <w:rPr>
          <w:rFonts w:ascii="Arial" w:hAnsi="Arial" w:cs="Arial"/>
          <w:b/>
          <w:bCs/>
          <w:i/>
          <w:iCs/>
          <w:sz w:val="28"/>
          <w:szCs w:val="28"/>
          <w:lang w:val="el-GR"/>
        </w:rPr>
        <w:t xml:space="preserve"> </w:t>
      </w:r>
      <w:r w:rsidRPr="0098157B">
        <w:rPr>
          <w:rFonts w:ascii="Arial" w:hAnsi="Arial" w:cs="Arial"/>
          <w:b/>
          <w:bCs/>
          <w:i/>
          <w:iCs/>
          <w:sz w:val="28"/>
          <w:szCs w:val="28"/>
          <w:lang w:val="el-GR"/>
        </w:rPr>
        <w:t xml:space="preserve"> </w:t>
      </w:r>
      <w:r>
        <w:rPr>
          <w:rFonts w:ascii="Arial" w:hAnsi="Arial" w:cs="Arial"/>
          <w:b/>
          <w:bCs/>
          <w:i/>
          <w:iCs/>
          <w:sz w:val="28"/>
          <w:szCs w:val="28"/>
        </w:rPr>
        <w:t>Ltd</w:t>
      </w:r>
      <w:r w:rsidRPr="0098157B">
        <w:rPr>
          <w:rFonts w:ascii="Arial" w:hAnsi="Arial" w:cs="Arial"/>
          <w:b/>
          <w:bCs/>
          <w:i/>
          <w:iCs/>
          <w:sz w:val="28"/>
          <w:szCs w:val="28"/>
          <w:lang w:val="el-GR"/>
        </w:rPr>
        <w:t xml:space="preserve"> </w:t>
      </w:r>
      <w:r>
        <w:rPr>
          <w:rFonts w:ascii="Arial" w:hAnsi="Arial" w:cs="Arial"/>
          <w:b/>
          <w:bCs/>
          <w:i/>
          <w:iCs/>
          <w:sz w:val="28"/>
          <w:szCs w:val="28"/>
        </w:rPr>
        <w:t>v</w:t>
      </w:r>
      <w:r w:rsidRPr="0098157B">
        <w:rPr>
          <w:rFonts w:ascii="Arial" w:hAnsi="Arial" w:cs="Arial"/>
          <w:b/>
          <w:bCs/>
          <w:i/>
          <w:iCs/>
          <w:sz w:val="28"/>
          <w:szCs w:val="28"/>
          <w:lang w:val="el-GR"/>
        </w:rPr>
        <w:t xml:space="preserve">. </w:t>
      </w:r>
      <w:r>
        <w:rPr>
          <w:rFonts w:ascii="Arial" w:hAnsi="Arial" w:cs="Arial"/>
          <w:b/>
          <w:bCs/>
          <w:i/>
          <w:iCs/>
          <w:sz w:val="28"/>
          <w:szCs w:val="28"/>
          <w:lang w:val="el-GR"/>
        </w:rPr>
        <w:t>Δημοκρατίας,</w:t>
      </w:r>
      <w:r w:rsidR="00263A05">
        <w:rPr>
          <w:rFonts w:ascii="Arial" w:hAnsi="Arial" w:cs="Arial"/>
          <w:b/>
          <w:bCs/>
          <w:i/>
          <w:iCs/>
          <w:sz w:val="28"/>
          <w:szCs w:val="28"/>
          <w:lang w:val="el-GR"/>
        </w:rPr>
        <w:t xml:space="preserve"> υποθ.αρ.1915/12, 3.9.2014</w:t>
      </w:r>
      <w:r>
        <w:rPr>
          <w:rFonts w:ascii="Arial" w:hAnsi="Arial" w:cs="Arial"/>
          <w:b/>
          <w:bCs/>
          <w:i/>
          <w:iCs/>
          <w:sz w:val="28"/>
          <w:szCs w:val="28"/>
          <w:lang w:val="el-GR"/>
        </w:rPr>
        <w:t xml:space="preserve"> </w:t>
      </w:r>
      <w:r w:rsidR="008A7780">
        <w:rPr>
          <w:rFonts w:ascii="Arial" w:hAnsi="Arial" w:cs="Arial"/>
          <w:sz w:val="28"/>
          <w:szCs w:val="28"/>
          <w:lang w:val="el-GR"/>
        </w:rPr>
        <w:t xml:space="preserve">και </w:t>
      </w:r>
      <w:proofErr w:type="spellStart"/>
      <w:r w:rsidR="00855ABB">
        <w:rPr>
          <w:rFonts w:ascii="Arial" w:hAnsi="Arial" w:cs="Arial"/>
          <w:b/>
          <w:bCs/>
          <w:i/>
          <w:iCs/>
          <w:sz w:val="28"/>
          <w:szCs w:val="28"/>
          <w:lang w:val="el-GR"/>
        </w:rPr>
        <w:lastRenderedPageBreak/>
        <w:t>Φράνκ</w:t>
      </w:r>
      <w:proofErr w:type="spellEnd"/>
      <w:r w:rsidR="008A7780" w:rsidRPr="008A7780">
        <w:rPr>
          <w:rFonts w:ascii="Arial" w:hAnsi="Arial" w:cs="Arial"/>
          <w:b/>
          <w:bCs/>
          <w:i/>
          <w:iCs/>
          <w:sz w:val="28"/>
          <w:szCs w:val="28"/>
          <w:lang w:val="el-GR"/>
        </w:rPr>
        <w:t xml:space="preserve"> </w:t>
      </w:r>
      <w:r w:rsidR="008A7780">
        <w:rPr>
          <w:rFonts w:ascii="Arial" w:hAnsi="Arial" w:cs="Arial"/>
          <w:b/>
          <w:bCs/>
          <w:i/>
          <w:iCs/>
          <w:sz w:val="28"/>
          <w:szCs w:val="28"/>
          <w:lang w:val="el-GR"/>
        </w:rPr>
        <w:t>ν. Δημοκρατίας συνεκδ.</w:t>
      </w:r>
      <w:r w:rsidR="008A7780" w:rsidRPr="008A7780">
        <w:rPr>
          <w:rFonts w:ascii="Arial" w:hAnsi="Arial" w:cs="Arial"/>
          <w:b/>
          <w:bCs/>
          <w:i/>
          <w:iCs/>
          <w:sz w:val="28"/>
          <w:szCs w:val="28"/>
          <w:lang w:val="el-GR"/>
        </w:rPr>
        <w:t xml:space="preserve"> </w:t>
      </w:r>
      <w:r w:rsidR="008A7780">
        <w:rPr>
          <w:rFonts w:ascii="Arial" w:hAnsi="Arial" w:cs="Arial"/>
          <w:b/>
          <w:bCs/>
          <w:i/>
          <w:iCs/>
          <w:sz w:val="28"/>
          <w:szCs w:val="28"/>
          <w:lang w:val="el-GR"/>
        </w:rPr>
        <w:t xml:space="preserve">υποθ. </w:t>
      </w:r>
      <w:r w:rsidR="006C0A59">
        <w:rPr>
          <w:rFonts w:ascii="Arial" w:hAnsi="Arial" w:cs="Arial"/>
          <w:b/>
          <w:bCs/>
          <w:i/>
          <w:iCs/>
          <w:sz w:val="28"/>
          <w:szCs w:val="28"/>
          <w:lang w:val="el-GR"/>
        </w:rPr>
        <w:t>α</w:t>
      </w:r>
      <w:r w:rsidR="008A7780">
        <w:rPr>
          <w:rFonts w:ascii="Arial" w:hAnsi="Arial" w:cs="Arial"/>
          <w:b/>
          <w:bCs/>
          <w:i/>
          <w:iCs/>
          <w:sz w:val="28"/>
          <w:szCs w:val="28"/>
          <w:lang w:val="el-GR"/>
        </w:rPr>
        <w:t>ρ.6545/</w:t>
      </w:r>
      <w:r w:rsidR="00855ABB">
        <w:rPr>
          <w:rFonts w:ascii="Arial" w:hAnsi="Arial" w:cs="Arial"/>
          <w:b/>
          <w:bCs/>
          <w:i/>
          <w:iCs/>
          <w:sz w:val="28"/>
          <w:szCs w:val="28"/>
          <w:lang w:val="el-GR"/>
        </w:rPr>
        <w:t>1</w:t>
      </w:r>
      <w:r w:rsidR="008A7780">
        <w:rPr>
          <w:rFonts w:ascii="Arial" w:hAnsi="Arial" w:cs="Arial"/>
          <w:b/>
          <w:bCs/>
          <w:i/>
          <w:iCs/>
          <w:sz w:val="28"/>
          <w:szCs w:val="28"/>
          <w:lang w:val="el-GR"/>
        </w:rPr>
        <w:t xml:space="preserve">3 κ.ά., </w:t>
      </w:r>
      <w:r w:rsidR="00263A05">
        <w:rPr>
          <w:rFonts w:ascii="Arial" w:hAnsi="Arial" w:cs="Arial"/>
          <w:b/>
          <w:bCs/>
          <w:i/>
          <w:iCs/>
          <w:sz w:val="28"/>
          <w:szCs w:val="28"/>
          <w:lang w:val="el-GR"/>
        </w:rPr>
        <w:t>9</w:t>
      </w:r>
      <w:r w:rsidR="008A7780">
        <w:rPr>
          <w:rFonts w:ascii="Arial" w:hAnsi="Arial" w:cs="Arial"/>
          <w:b/>
          <w:bCs/>
          <w:i/>
          <w:iCs/>
          <w:sz w:val="28"/>
          <w:szCs w:val="28"/>
          <w:lang w:val="el-GR"/>
        </w:rPr>
        <w:t>.</w:t>
      </w:r>
      <w:r w:rsidR="00263A05">
        <w:rPr>
          <w:rFonts w:ascii="Arial" w:hAnsi="Arial" w:cs="Arial"/>
          <w:b/>
          <w:bCs/>
          <w:i/>
          <w:iCs/>
          <w:sz w:val="28"/>
          <w:szCs w:val="28"/>
          <w:lang w:val="el-GR"/>
        </w:rPr>
        <w:t>7</w:t>
      </w:r>
      <w:r w:rsidR="008A7780">
        <w:rPr>
          <w:rFonts w:ascii="Arial" w:hAnsi="Arial" w:cs="Arial"/>
          <w:b/>
          <w:bCs/>
          <w:i/>
          <w:iCs/>
          <w:sz w:val="28"/>
          <w:szCs w:val="28"/>
          <w:lang w:val="el-GR"/>
        </w:rPr>
        <w:t>.2014</w:t>
      </w:r>
      <w:r w:rsidR="0083403F">
        <w:rPr>
          <w:rFonts w:ascii="Arial" w:hAnsi="Arial" w:cs="Arial"/>
          <w:b/>
          <w:bCs/>
          <w:i/>
          <w:iCs/>
          <w:sz w:val="28"/>
          <w:szCs w:val="28"/>
          <w:lang w:val="el-GR"/>
        </w:rPr>
        <w:t>,</w:t>
      </w:r>
      <w:r w:rsidR="008A7780">
        <w:rPr>
          <w:rFonts w:ascii="Arial" w:hAnsi="Arial" w:cs="Arial"/>
          <w:b/>
          <w:bCs/>
          <w:i/>
          <w:iCs/>
          <w:sz w:val="28"/>
          <w:szCs w:val="28"/>
          <w:lang w:val="el-GR"/>
        </w:rPr>
        <w:t xml:space="preserve"> </w:t>
      </w:r>
      <w:r>
        <w:rPr>
          <w:rFonts w:ascii="Arial" w:hAnsi="Arial" w:cs="Arial"/>
          <w:b/>
          <w:bCs/>
          <w:i/>
          <w:iCs/>
          <w:sz w:val="28"/>
          <w:szCs w:val="28"/>
          <w:lang w:val="el-GR"/>
        </w:rPr>
        <w:t xml:space="preserve"> </w:t>
      </w:r>
      <w:r>
        <w:rPr>
          <w:rFonts w:ascii="Arial" w:hAnsi="Arial" w:cs="Arial"/>
          <w:sz w:val="28"/>
          <w:szCs w:val="28"/>
          <w:lang w:val="el-GR"/>
        </w:rPr>
        <w:t xml:space="preserve">πως η ύπαρξη πολεοδομικής άδειας ή άδειας οικοδομής – η οποία υφίστατο κατά τον ουσιώδη χρόνο – ήταν επαρκής ώστε το Διοικητικό Δικαστήριο να εφαρμόσει το επίμαχο </w:t>
      </w:r>
      <w:r w:rsidR="00B6571A">
        <w:rPr>
          <w:rFonts w:ascii="Arial" w:hAnsi="Arial" w:cs="Arial"/>
          <w:sz w:val="28"/>
          <w:szCs w:val="28"/>
          <w:lang w:val="el-GR"/>
        </w:rPr>
        <w:t>ά</w:t>
      </w:r>
      <w:r>
        <w:rPr>
          <w:rFonts w:ascii="Arial" w:hAnsi="Arial" w:cs="Arial"/>
          <w:sz w:val="28"/>
          <w:szCs w:val="28"/>
          <w:lang w:val="el-GR"/>
        </w:rPr>
        <w:t xml:space="preserve">ρθρο  και συνεπακόλουθα το πρωτόδικο Δικαστήριο έσφαλε στην ερμηνεία του όρου «οικόπεδο».  </w:t>
      </w:r>
      <w:proofErr w:type="spellStart"/>
      <w:r>
        <w:rPr>
          <w:rFonts w:ascii="Arial" w:hAnsi="Arial" w:cs="Arial"/>
          <w:sz w:val="28"/>
          <w:szCs w:val="28"/>
          <w:lang w:val="el-GR"/>
        </w:rPr>
        <w:t>Εδικά</w:t>
      </w:r>
      <w:proofErr w:type="spellEnd"/>
      <w:r>
        <w:rPr>
          <w:rFonts w:ascii="Arial" w:hAnsi="Arial" w:cs="Arial"/>
          <w:sz w:val="28"/>
          <w:szCs w:val="28"/>
          <w:lang w:val="el-GR"/>
        </w:rPr>
        <w:t xml:space="preserve"> επί το ότι χρησιμοποίησε τις διατάξεις άλλου Νόμου (του </w:t>
      </w:r>
      <w:r w:rsidRPr="0098157B">
        <w:rPr>
          <w:rFonts w:ascii="Arial" w:hAnsi="Arial" w:cs="Arial"/>
          <w:b/>
          <w:bCs/>
          <w:i/>
          <w:sz w:val="28"/>
          <w:szCs w:val="28"/>
          <w:lang w:val="el-GR"/>
        </w:rPr>
        <w:t>περί Πολεοδομίας και Χωροταξίας Νόμου του 1972</w:t>
      </w:r>
      <w:r w:rsidR="00DB3024">
        <w:rPr>
          <w:rFonts w:ascii="Arial" w:hAnsi="Arial" w:cs="Arial"/>
          <w:b/>
          <w:bCs/>
          <w:i/>
          <w:sz w:val="28"/>
          <w:szCs w:val="28"/>
          <w:lang w:val="el-GR"/>
        </w:rPr>
        <w:t>,</w:t>
      </w:r>
      <w:r w:rsidRPr="0098157B">
        <w:rPr>
          <w:rFonts w:ascii="Arial" w:hAnsi="Arial" w:cs="Arial"/>
          <w:b/>
          <w:bCs/>
          <w:i/>
          <w:sz w:val="28"/>
          <w:szCs w:val="28"/>
          <w:lang w:val="el-GR"/>
        </w:rPr>
        <w:t xml:space="preserve"> Ν.90/72</w:t>
      </w:r>
      <w:r>
        <w:rPr>
          <w:rFonts w:ascii="Arial" w:hAnsi="Arial" w:cs="Arial"/>
          <w:sz w:val="28"/>
          <w:szCs w:val="28"/>
          <w:lang w:val="el-GR"/>
        </w:rPr>
        <w:t>) για να προσδώσει στην έννοια «οικόπεδο» την έννοια που εν τέλει του έδωσε, «πέραν από το γράμμα του Κεφ.219»</w:t>
      </w:r>
      <w:r w:rsidR="00723D59">
        <w:rPr>
          <w:rFonts w:ascii="Arial" w:hAnsi="Arial" w:cs="Arial"/>
          <w:sz w:val="28"/>
          <w:szCs w:val="28"/>
          <w:lang w:val="el-GR"/>
        </w:rPr>
        <w:t>.</w:t>
      </w:r>
      <w:r>
        <w:rPr>
          <w:rFonts w:ascii="Arial" w:hAnsi="Arial" w:cs="Arial"/>
          <w:sz w:val="28"/>
          <w:szCs w:val="28"/>
          <w:lang w:val="el-GR"/>
        </w:rPr>
        <w:t xml:space="preserve">  Τα δύο νομοθετήματα δεν μπορούν, κατά την εισήγηση, να θεωρηθούν </w:t>
      </w:r>
      <w:r w:rsidRPr="00723D59">
        <w:rPr>
          <w:rFonts w:ascii="Arial" w:hAnsi="Arial" w:cs="Arial"/>
          <w:b/>
          <w:bCs/>
          <w:i/>
          <w:iCs/>
          <w:sz w:val="28"/>
          <w:szCs w:val="28"/>
          <w:lang w:val="el-GR"/>
        </w:rPr>
        <w:t>“</w:t>
      </w:r>
      <w:r w:rsidRPr="00723D59">
        <w:rPr>
          <w:rFonts w:ascii="Arial" w:hAnsi="Arial" w:cs="Arial"/>
          <w:b/>
          <w:bCs/>
          <w:i/>
          <w:iCs/>
          <w:sz w:val="28"/>
          <w:szCs w:val="28"/>
        </w:rPr>
        <w:t>in</w:t>
      </w:r>
      <w:r w:rsidRPr="00723D59">
        <w:rPr>
          <w:rFonts w:ascii="Arial" w:hAnsi="Arial" w:cs="Arial"/>
          <w:b/>
          <w:bCs/>
          <w:i/>
          <w:iCs/>
          <w:sz w:val="28"/>
          <w:szCs w:val="28"/>
          <w:lang w:val="el-GR"/>
        </w:rPr>
        <w:t xml:space="preserve"> </w:t>
      </w:r>
      <w:proofErr w:type="spellStart"/>
      <w:r w:rsidRPr="00723D59">
        <w:rPr>
          <w:rFonts w:ascii="Arial" w:hAnsi="Arial" w:cs="Arial"/>
          <w:b/>
          <w:bCs/>
          <w:i/>
          <w:iCs/>
          <w:sz w:val="28"/>
          <w:szCs w:val="28"/>
        </w:rPr>
        <w:t>pa</w:t>
      </w:r>
      <w:r w:rsidR="00625AD0" w:rsidRPr="00723D59">
        <w:rPr>
          <w:rFonts w:ascii="Arial" w:hAnsi="Arial" w:cs="Arial"/>
          <w:b/>
          <w:bCs/>
          <w:i/>
          <w:iCs/>
          <w:sz w:val="28"/>
          <w:szCs w:val="28"/>
        </w:rPr>
        <w:t>ri</w:t>
      </w:r>
      <w:proofErr w:type="spellEnd"/>
      <w:r w:rsidR="00625AD0" w:rsidRPr="00723D59">
        <w:rPr>
          <w:rFonts w:ascii="Arial" w:hAnsi="Arial" w:cs="Arial"/>
          <w:b/>
          <w:bCs/>
          <w:i/>
          <w:iCs/>
          <w:sz w:val="28"/>
          <w:szCs w:val="28"/>
          <w:lang w:val="el-GR"/>
        </w:rPr>
        <w:t xml:space="preserve"> </w:t>
      </w:r>
      <w:proofErr w:type="spellStart"/>
      <w:r w:rsidR="00625AD0" w:rsidRPr="00723D59">
        <w:rPr>
          <w:rFonts w:ascii="Arial" w:hAnsi="Arial" w:cs="Arial"/>
          <w:b/>
          <w:bCs/>
          <w:i/>
          <w:iCs/>
          <w:sz w:val="28"/>
          <w:szCs w:val="28"/>
        </w:rPr>
        <w:t>materia</w:t>
      </w:r>
      <w:proofErr w:type="spellEnd"/>
      <w:r w:rsidR="00625AD0" w:rsidRPr="00723D59">
        <w:rPr>
          <w:rFonts w:ascii="Arial" w:hAnsi="Arial" w:cs="Arial"/>
          <w:b/>
          <w:bCs/>
          <w:i/>
          <w:iCs/>
          <w:sz w:val="28"/>
          <w:szCs w:val="28"/>
          <w:lang w:val="el-GR"/>
        </w:rPr>
        <w:t>”</w:t>
      </w:r>
      <w:r w:rsidR="00625AD0">
        <w:rPr>
          <w:rFonts w:ascii="Arial" w:hAnsi="Arial" w:cs="Arial"/>
          <w:i/>
          <w:iCs/>
          <w:sz w:val="28"/>
          <w:szCs w:val="28"/>
          <w:lang w:val="el-GR"/>
        </w:rPr>
        <w:t xml:space="preserve"> </w:t>
      </w:r>
      <w:r w:rsidR="004E6EDE">
        <w:rPr>
          <w:rFonts w:ascii="Arial" w:hAnsi="Arial" w:cs="Arial"/>
          <w:sz w:val="28"/>
          <w:szCs w:val="28"/>
          <w:lang w:val="el-GR"/>
        </w:rPr>
        <w:t>ώστε</w:t>
      </w:r>
      <w:r w:rsidR="00625AD0">
        <w:rPr>
          <w:rFonts w:ascii="Arial" w:hAnsi="Arial" w:cs="Arial"/>
          <w:sz w:val="28"/>
          <w:szCs w:val="28"/>
          <w:lang w:val="el-GR"/>
        </w:rPr>
        <w:t xml:space="preserve"> είναι επιτρεπτή η ενιαία ερμηνεία όρου, ο οποίος είναι κοινός </w:t>
      </w:r>
      <w:r w:rsidR="004E6EDE">
        <w:rPr>
          <w:rFonts w:ascii="Arial" w:hAnsi="Arial" w:cs="Arial"/>
          <w:sz w:val="28"/>
          <w:szCs w:val="28"/>
          <w:lang w:val="el-GR"/>
        </w:rPr>
        <w:t>στους δύο</w:t>
      </w:r>
      <w:r w:rsidR="00625AD0">
        <w:rPr>
          <w:rFonts w:ascii="Arial" w:hAnsi="Arial" w:cs="Arial"/>
          <w:sz w:val="28"/>
          <w:szCs w:val="28"/>
          <w:lang w:val="el-GR"/>
        </w:rPr>
        <w:t xml:space="preserve"> </w:t>
      </w:r>
      <w:r w:rsidR="004E6EDE">
        <w:rPr>
          <w:rFonts w:ascii="Arial" w:hAnsi="Arial" w:cs="Arial"/>
          <w:sz w:val="28"/>
          <w:szCs w:val="28"/>
          <w:lang w:val="el-GR"/>
        </w:rPr>
        <w:t>Νόμους</w:t>
      </w:r>
      <w:r w:rsidR="00625AD0">
        <w:rPr>
          <w:rFonts w:ascii="Arial" w:hAnsi="Arial" w:cs="Arial"/>
          <w:sz w:val="28"/>
          <w:szCs w:val="28"/>
          <w:lang w:val="el-GR"/>
        </w:rPr>
        <w:t>.</w:t>
      </w:r>
    </w:p>
    <w:p w14:paraId="07972CF1" w14:textId="77777777" w:rsidR="00625AD0" w:rsidRDefault="00625AD0" w:rsidP="00FD4789">
      <w:pPr>
        <w:spacing w:line="480" w:lineRule="auto"/>
        <w:ind w:right="237"/>
        <w:jc w:val="both"/>
        <w:rPr>
          <w:rFonts w:ascii="Arial" w:hAnsi="Arial" w:cs="Arial"/>
          <w:sz w:val="28"/>
          <w:szCs w:val="28"/>
          <w:lang w:val="el-GR"/>
        </w:rPr>
      </w:pPr>
    </w:p>
    <w:p w14:paraId="20EECC5B" w14:textId="4691E637" w:rsidR="00625AD0" w:rsidRDefault="00625AD0" w:rsidP="00FD4789">
      <w:pPr>
        <w:spacing w:line="480" w:lineRule="auto"/>
        <w:ind w:right="237"/>
        <w:jc w:val="both"/>
        <w:rPr>
          <w:rFonts w:ascii="Arial" w:hAnsi="Arial" w:cs="Arial"/>
          <w:sz w:val="28"/>
          <w:szCs w:val="28"/>
          <w:lang w:val="el-GR"/>
        </w:rPr>
      </w:pPr>
      <w:r>
        <w:rPr>
          <w:rFonts w:ascii="Arial" w:hAnsi="Arial" w:cs="Arial"/>
          <w:sz w:val="28"/>
          <w:szCs w:val="28"/>
          <w:lang w:val="el-GR"/>
        </w:rPr>
        <w:t xml:space="preserve">Εν προκειμένω, υπεισέρχεται και ο έτερος ισχυρισμός των </w:t>
      </w:r>
      <w:proofErr w:type="spellStart"/>
      <w:r>
        <w:rPr>
          <w:rFonts w:ascii="Arial" w:hAnsi="Arial" w:cs="Arial"/>
          <w:sz w:val="28"/>
          <w:szCs w:val="28"/>
          <w:lang w:val="el-GR"/>
        </w:rPr>
        <w:t>Εφεσειόντων</w:t>
      </w:r>
      <w:proofErr w:type="spellEnd"/>
      <w:r>
        <w:rPr>
          <w:rFonts w:ascii="Arial" w:hAnsi="Arial" w:cs="Arial"/>
          <w:sz w:val="28"/>
          <w:szCs w:val="28"/>
          <w:lang w:val="el-GR"/>
        </w:rPr>
        <w:t xml:space="preserve"> που προβάλλεται</w:t>
      </w:r>
      <w:r w:rsidR="004E6EDE">
        <w:rPr>
          <w:rFonts w:ascii="Arial" w:hAnsi="Arial" w:cs="Arial"/>
          <w:sz w:val="28"/>
          <w:szCs w:val="28"/>
          <w:lang w:val="el-GR"/>
        </w:rPr>
        <w:t>, δ</w:t>
      </w:r>
      <w:r>
        <w:rPr>
          <w:rFonts w:ascii="Arial" w:hAnsi="Arial" w:cs="Arial"/>
          <w:sz w:val="28"/>
          <w:szCs w:val="28"/>
          <w:lang w:val="el-GR"/>
        </w:rPr>
        <w:t>ηλαδή η ερμηνεία της φράσης «ανεξάρτητα με τη νομική κατάσταση τους κατά το χρόνο συνομολόγησης της σύμβασης πώλησης»</w:t>
      </w:r>
      <w:r w:rsidR="00152633">
        <w:rPr>
          <w:rFonts w:ascii="Arial" w:hAnsi="Arial" w:cs="Arial"/>
          <w:sz w:val="28"/>
          <w:szCs w:val="28"/>
          <w:lang w:val="el-GR"/>
        </w:rPr>
        <w:t xml:space="preserve"> του επίμαχου </w:t>
      </w:r>
      <w:r w:rsidR="00B6571A">
        <w:rPr>
          <w:rFonts w:ascii="Arial" w:hAnsi="Arial" w:cs="Arial"/>
          <w:sz w:val="28"/>
          <w:szCs w:val="28"/>
          <w:lang w:val="el-GR"/>
        </w:rPr>
        <w:t>ά</w:t>
      </w:r>
      <w:r w:rsidR="00152633">
        <w:rPr>
          <w:rFonts w:ascii="Arial" w:hAnsi="Arial" w:cs="Arial"/>
          <w:sz w:val="28"/>
          <w:szCs w:val="28"/>
          <w:lang w:val="el-GR"/>
        </w:rPr>
        <w:t>ρθρου.</w:t>
      </w:r>
    </w:p>
    <w:p w14:paraId="42EC0D14" w14:textId="77777777" w:rsidR="00152633" w:rsidRDefault="00152633" w:rsidP="00FD4789">
      <w:pPr>
        <w:spacing w:line="480" w:lineRule="auto"/>
        <w:ind w:right="237"/>
        <w:jc w:val="both"/>
        <w:rPr>
          <w:rFonts w:ascii="Arial" w:hAnsi="Arial" w:cs="Arial"/>
          <w:sz w:val="28"/>
          <w:szCs w:val="28"/>
          <w:lang w:val="el-GR"/>
        </w:rPr>
      </w:pPr>
    </w:p>
    <w:p w14:paraId="508D09BC" w14:textId="47F8152F" w:rsidR="00152633" w:rsidRDefault="00152633" w:rsidP="00FD4789">
      <w:pPr>
        <w:spacing w:line="480" w:lineRule="auto"/>
        <w:ind w:right="237"/>
        <w:jc w:val="both"/>
        <w:rPr>
          <w:rFonts w:ascii="Arial" w:hAnsi="Arial" w:cs="Arial"/>
          <w:sz w:val="28"/>
          <w:szCs w:val="28"/>
          <w:lang w:val="el-GR"/>
        </w:rPr>
      </w:pPr>
      <w:r>
        <w:rPr>
          <w:rFonts w:ascii="Arial" w:hAnsi="Arial" w:cs="Arial"/>
          <w:sz w:val="28"/>
          <w:szCs w:val="28"/>
          <w:lang w:val="el-GR"/>
        </w:rPr>
        <w:t xml:space="preserve">Σύμφωνα με την πλευρά των </w:t>
      </w:r>
      <w:proofErr w:type="spellStart"/>
      <w:r>
        <w:rPr>
          <w:rFonts w:ascii="Arial" w:hAnsi="Arial" w:cs="Arial"/>
          <w:sz w:val="28"/>
          <w:szCs w:val="28"/>
          <w:lang w:val="el-GR"/>
        </w:rPr>
        <w:t>Εφεσειόντων</w:t>
      </w:r>
      <w:proofErr w:type="spellEnd"/>
      <w:r>
        <w:rPr>
          <w:rFonts w:ascii="Arial" w:hAnsi="Arial" w:cs="Arial"/>
          <w:sz w:val="28"/>
          <w:szCs w:val="28"/>
          <w:lang w:val="el-GR"/>
        </w:rPr>
        <w:t xml:space="preserve">, ο σκοπός του Νομοθέτη ήταν η εξέταση «της ουσίας του ακίνητου και κατά πόσο αυτό ουσιαστικά και όχι νομικά, θεωρείται, </w:t>
      </w:r>
      <w:r w:rsidR="00B6571A">
        <w:rPr>
          <w:rFonts w:ascii="Arial" w:hAnsi="Arial" w:cs="Arial"/>
          <w:sz w:val="28"/>
          <w:szCs w:val="28"/>
          <w:lang w:val="el-GR"/>
        </w:rPr>
        <w:t xml:space="preserve">ή </w:t>
      </w:r>
      <w:r>
        <w:rPr>
          <w:rFonts w:ascii="Arial" w:hAnsi="Arial" w:cs="Arial"/>
          <w:sz w:val="28"/>
          <w:szCs w:val="28"/>
          <w:lang w:val="el-GR"/>
        </w:rPr>
        <w:t xml:space="preserve">δύναται να θεωρηθεί ως οικόπεδο» (παρ.23 του περιγράμματος).  Αυτό δε, σύμφωνα με την εισήγηση είναι συμβατό </w:t>
      </w:r>
      <w:r>
        <w:rPr>
          <w:rFonts w:ascii="Arial" w:hAnsi="Arial" w:cs="Arial"/>
          <w:sz w:val="28"/>
          <w:szCs w:val="28"/>
          <w:lang w:val="el-GR"/>
        </w:rPr>
        <w:lastRenderedPageBreak/>
        <w:t xml:space="preserve">και με τις μετέπειτα τροποποιήσεις του Νόμου (όταν απαλείφθηκε πια η λέξη «οικόπεδο»).  Πρόθεση του Νομοθέτη ήταν «η εφαρμογή των προνοιών του </w:t>
      </w:r>
      <w:r w:rsidRPr="006C0A59">
        <w:rPr>
          <w:rFonts w:ascii="Arial" w:hAnsi="Arial" w:cs="Arial"/>
          <w:b/>
          <w:bCs/>
          <w:i/>
          <w:iCs/>
          <w:sz w:val="28"/>
          <w:szCs w:val="28"/>
          <w:lang w:val="el-GR"/>
        </w:rPr>
        <w:t>΄</w:t>
      </w:r>
      <w:proofErr w:type="spellStart"/>
      <w:r w:rsidRPr="006C0A59">
        <w:rPr>
          <w:rFonts w:ascii="Arial" w:hAnsi="Arial" w:cs="Arial"/>
          <w:b/>
          <w:bCs/>
          <w:i/>
          <w:iCs/>
          <w:sz w:val="28"/>
          <w:szCs w:val="28"/>
          <w:lang w:val="el-GR"/>
        </w:rPr>
        <w:t>Αρθρου</w:t>
      </w:r>
      <w:proofErr w:type="spellEnd"/>
      <w:r w:rsidRPr="006C0A59">
        <w:rPr>
          <w:rFonts w:ascii="Arial" w:hAnsi="Arial" w:cs="Arial"/>
          <w:b/>
          <w:bCs/>
          <w:i/>
          <w:iCs/>
          <w:sz w:val="28"/>
          <w:szCs w:val="28"/>
          <w:lang w:val="el-GR"/>
        </w:rPr>
        <w:t xml:space="preserve"> 10(2)</w:t>
      </w:r>
      <w:r>
        <w:rPr>
          <w:rFonts w:ascii="Arial" w:hAnsi="Arial" w:cs="Arial"/>
          <w:sz w:val="28"/>
          <w:szCs w:val="28"/>
          <w:lang w:val="el-GR"/>
        </w:rPr>
        <w:t xml:space="preserve"> σε έκαστο ακίνητο για το οποίο υφίσταται Πολεοδομική ΄</w:t>
      </w:r>
      <w:proofErr w:type="spellStart"/>
      <w:r>
        <w:rPr>
          <w:rFonts w:ascii="Arial" w:hAnsi="Arial" w:cs="Arial"/>
          <w:sz w:val="28"/>
          <w:szCs w:val="28"/>
          <w:lang w:val="el-GR"/>
        </w:rPr>
        <w:t>Αδεια</w:t>
      </w:r>
      <w:proofErr w:type="spellEnd"/>
      <w:r>
        <w:rPr>
          <w:rFonts w:ascii="Arial" w:hAnsi="Arial" w:cs="Arial"/>
          <w:sz w:val="28"/>
          <w:szCs w:val="28"/>
          <w:lang w:val="el-GR"/>
        </w:rPr>
        <w:t xml:space="preserve">, ήτοι για έκαστο ακίνητο το οποίο είναι </w:t>
      </w:r>
      <w:proofErr w:type="spellStart"/>
      <w:r>
        <w:rPr>
          <w:rFonts w:ascii="Arial" w:hAnsi="Arial" w:cs="Arial"/>
          <w:sz w:val="28"/>
          <w:szCs w:val="28"/>
          <w:lang w:val="el-GR"/>
        </w:rPr>
        <w:t>οικοπεδοποιήσιμο</w:t>
      </w:r>
      <w:proofErr w:type="spellEnd"/>
      <w:r>
        <w:rPr>
          <w:rFonts w:ascii="Arial" w:hAnsi="Arial" w:cs="Arial"/>
          <w:sz w:val="28"/>
          <w:szCs w:val="28"/>
          <w:lang w:val="el-GR"/>
        </w:rPr>
        <w:t xml:space="preserve">, χωρίς να έχει μεταβληθεί απαραίτητα η νομική του κατάσταση», καταλήγουν οι </w:t>
      </w:r>
      <w:proofErr w:type="spellStart"/>
      <w:r>
        <w:rPr>
          <w:rFonts w:ascii="Arial" w:hAnsi="Arial" w:cs="Arial"/>
          <w:sz w:val="28"/>
          <w:szCs w:val="28"/>
          <w:lang w:val="el-GR"/>
        </w:rPr>
        <w:t>ευπαίδευτοι</w:t>
      </w:r>
      <w:proofErr w:type="spellEnd"/>
      <w:r>
        <w:rPr>
          <w:rFonts w:ascii="Arial" w:hAnsi="Arial" w:cs="Arial"/>
          <w:sz w:val="28"/>
          <w:szCs w:val="28"/>
          <w:lang w:val="el-GR"/>
        </w:rPr>
        <w:t xml:space="preserve">  συνήγοροι των </w:t>
      </w:r>
      <w:proofErr w:type="spellStart"/>
      <w:r>
        <w:rPr>
          <w:rFonts w:ascii="Arial" w:hAnsi="Arial" w:cs="Arial"/>
          <w:sz w:val="28"/>
          <w:szCs w:val="28"/>
          <w:lang w:val="el-GR"/>
        </w:rPr>
        <w:t>Εφεσειόντων</w:t>
      </w:r>
      <w:proofErr w:type="spellEnd"/>
      <w:r>
        <w:rPr>
          <w:rFonts w:ascii="Arial" w:hAnsi="Arial" w:cs="Arial"/>
          <w:sz w:val="28"/>
          <w:szCs w:val="28"/>
          <w:lang w:val="el-GR"/>
        </w:rPr>
        <w:t>.</w:t>
      </w:r>
    </w:p>
    <w:p w14:paraId="60DC138B" w14:textId="77777777" w:rsidR="00152633" w:rsidRDefault="00152633" w:rsidP="00FD4789">
      <w:pPr>
        <w:spacing w:line="480" w:lineRule="auto"/>
        <w:ind w:right="237"/>
        <w:jc w:val="both"/>
        <w:rPr>
          <w:rFonts w:ascii="Arial" w:hAnsi="Arial" w:cs="Arial"/>
          <w:sz w:val="28"/>
          <w:szCs w:val="28"/>
          <w:lang w:val="el-GR"/>
        </w:rPr>
      </w:pPr>
    </w:p>
    <w:p w14:paraId="7AAE94D7" w14:textId="38002C12" w:rsidR="004E6EDE" w:rsidRDefault="00152633" w:rsidP="00FD4789">
      <w:pPr>
        <w:spacing w:line="480" w:lineRule="auto"/>
        <w:ind w:right="237"/>
        <w:jc w:val="both"/>
        <w:rPr>
          <w:rFonts w:ascii="Arial" w:hAnsi="Arial" w:cs="Arial"/>
          <w:sz w:val="28"/>
          <w:szCs w:val="28"/>
          <w:lang w:val="el-GR"/>
        </w:rPr>
      </w:pPr>
      <w:r>
        <w:rPr>
          <w:rFonts w:ascii="Arial" w:hAnsi="Arial" w:cs="Arial"/>
          <w:sz w:val="28"/>
          <w:szCs w:val="28"/>
          <w:lang w:val="el-GR"/>
        </w:rPr>
        <w:t xml:space="preserve">Προκύπτουν από τα πιο πάνω, σαφή ερμηνευτικά ζητήματα σε συνάρτηση με το επίμαχο άρθρο.  </w:t>
      </w:r>
      <w:proofErr w:type="spellStart"/>
      <w:r>
        <w:rPr>
          <w:rFonts w:ascii="Arial" w:hAnsi="Arial" w:cs="Arial"/>
          <w:sz w:val="28"/>
          <w:szCs w:val="28"/>
          <w:lang w:val="el-GR"/>
        </w:rPr>
        <w:t>Κατ΄αρχάς</w:t>
      </w:r>
      <w:proofErr w:type="spellEnd"/>
      <w:r>
        <w:rPr>
          <w:rFonts w:ascii="Arial" w:hAnsi="Arial" w:cs="Arial"/>
          <w:sz w:val="28"/>
          <w:szCs w:val="28"/>
          <w:lang w:val="el-GR"/>
        </w:rPr>
        <w:t xml:space="preserve"> να σημειώσουμε πως οι προαναφερθείσες αποφάσεις</w:t>
      </w:r>
      <w:r w:rsidR="00B6571A">
        <w:rPr>
          <w:rFonts w:ascii="Arial" w:hAnsi="Arial" w:cs="Arial"/>
          <w:sz w:val="28"/>
          <w:szCs w:val="28"/>
          <w:lang w:val="el-GR"/>
        </w:rPr>
        <w:t>,</w:t>
      </w:r>
      <w:r>
        <w:rPr>
          <w:rFonts w:ascii="Arial" w:hAnsi="Arial" w:cs="Arial"/>
          <w:sz w:val="28"/>
          <w:szCs w:val="28"/>
          <w:lang w:val="el-GR"/>
        </w:rPr>
        <w:t xml:space="preserve"> εκτός του ότι πρόκειται για μονομελείς αποφάσεις </w:t>
      </w:r>
      <w:r w:rsidR="004E6EDE">
        <w:rPr>
          <w:rFonts w:ascii="Arial" w:hAnsi="Arial" w:cs="Arial"/>
          <w:sz w:val="28"/>
          <w:szCs w:val="28"/>
          <w:lang w:val="el-GR"/>
        </w:rPr>
        <w:t xml:space="preserve">του </w:t>
      </w:r>
      <w:r>
        <w:rPr>
          <w:rFonts w:ascii="Arial" w:hAnsi="Arial" w:cs="Arial"/>
          <w:sz w:val="28"/>
          <w:szCs w:val="28"/>
          <w:lang w:val="el-GR"/>
        </w:rPr>
        <w:t xml:space="preserve">Ανωτάτου Δικαστηρίου, </w:t>
      </w:r>
      <w:r w:rsidR="004E6EDE">
        <w:rPr>
          <w:rFonts w:ascii="Arial" w:hAnsi="Arial" w:cs="Arial"/>
          <w:sz w:val="28"/>
          <w:szCs w:val="28"/>
          <w:lang w:val="el-GR"/>
        </w:rPr>
        <w:t xml:space="preserve">συνεπώς μη δεσμευτικές, </w:t>
      </w:r>
      <w:r>
        <w:rPr>
          <w:rFonts w:ascii="Arial" w:hAnsi="Arial" w:cs="Arial"/>
          <w:sz w:val="28"/>
          <w:szCs w:val="28"/>
          <w:lang w:val="el-GR"/>
        </w:rPr>
        <w:t xml:space="preserve">τα δεδομένα τους δεν </w:t>
      </w:r>
      <w:proofErr w:type="spellStart"/>
      <w:r>
        <w:rPr>
          <w:rFonts w:ascii="Arial" w:hAnsi="Arial" w:cs="Arial"/>
          <w:sz w:val="28"/>
          <w:szCs w:val="28"/>
          <w:lang w:val="el-GR"/>
        </w:rPr>
        <w:t>ήσαν</w:t>
      </w:r>
      <w:proofErr w:type="spellEnd"/>
      <w:r>
        <w:rPr>
          <w:rFonts w:ascii="Arial" w:hAnsi="Arial" w:cs="Arial"/>
          <w:sz w:val="28"/>
          <w:szCs w:val="28"/>
          <w:lang w:val="el-GR"/>
        </w:rPr>
        <w:t xml:space="preserve"> τα ίδια, εφόσον </w:t>
      </w:r>
      <w:r w:rsidR="00B6571A">
        <w:rPr>
          <w:rFonts w:ascii="Arial" w:hAnsi="Arial" w:cs="Arial"/>
          <w:sz w:val="28"/>
          <w:szCs w:val="28"/>
          <w:lang w:val="el-GR"/>
        </w:rPr>
        <w:t>διαφαίνεται</w:t>
      </w:r>
      <w:r>
        <w:rPr>
          <w:rFonts w:ascii="Arial" w:hAnsi="Arial" w:cs="Arial"/>
          <w:sz w:val="28"/>
          <w:szCs w:val="28"/>
          <w:lang w:val="el-GR"/>
        </w:rPr>
        <w:t xml:space="preserve"> </w:t>
      </w:r>
      <w:r w:rsidR="004E6EDE">
        <w:rPr>
          <w:rFonts w:ascii="Arial" w:hAnsi="Arial" w:cs="Arial"/>
          <w:sz w:val="28"/>
          <w:szCs w:val="28"/>
          <w:lang w:val="el-GR"/>
        </w:rPr>
        <w:t>ότι</w:t>
      </w:r>
      <w:r>
        <w:rPr>
          <w:rFonts w:ascii="Arial" w:hAnsi="Arial" w:cs="Arial"/>
          <w:sz w:val="28"/>
          <w:szCs w:val="28"/>
          <w:lang w:val="el-GR"/>
        </w:rPr>
        <w:t xml:space="preserve"> δεν είχε αμφισβητηθεί πως τα εκεί ακίνητα ήταν «οικόπεδα»</w:t>
      </w:r>
      <w:r w:rsidR="004E6EDE">
        <w:rPr>
          <w:rFonts w:ascii="Arial" w:hAnsi="Arial" w:cs="Arial"/>
          <w:sz w:val="28"/>
          <w:szCs w:val="28"/>
          <w:lang w:val="el-GR"/>
        </w:rPr>
        <w:t>, αλλά</w:t>
      </w:r>
      <w:r>
        <w:rPr>
          <w:rFonts w:ascii="Arial" w:hAnsi="Arial" w:cs="Arial"/>
          <w:sz w:val="28"/>
          <w:szCs w:val="28"/>
          <w:lang w:val="el-GR"/>
        </w:rPr>
        <w:t xml:space="preserve"> αφορούσαν απόρριψη αιτήματος των εκεί </w:t>
      </w:r>
      <w:proofErr w:type="spellStart"/>
      <w:r>
        <w:rPr>
          <w:rFonts w:ascii="Arial" w:hAnsi="Arial" w:cs="Arial"/>
          <w:sz w:val="28"/>
          <w:szCs w:val="28"/>
          <w:lang w:val="el-GR"/>
        </w:rPr>
        <w:t>Αιτητών</w:t>
      </w:r>
      <w:proofErr w:type="spellEnd"/>
      <w:r>
        <w:rPr>
          <w:rFonts w:ascii="Arial" w:hAnsi="Arial" w:cs="Arial"/>
          <w:sz w:val="28"/>
          <w:szCs w:val="28"/>
          <w:lang w:val="el-GR"/>
        </w:rPr>
        <w:t xml:space="preserve"> λόγω απουσίας πιστοποιητικού τελικής έγκρισης, κάτι που κρίθηκε ότι δεν συνιστού</w:t>
      </w:r>
      <w:r w:rsidR="004E6EDE">
        <w:rPr>
          <w:rFonts w:ascii="Arial" w:hAnsi="Arial" w:cs="Arial"/>
          <w:sz w:val="28"/>
          <w:szCs w:val="28"/>
          <w:lang w:val="el-GR"/>
        </w:rPr>
        <w:t>σε</w:t>
      </w:r>
      <w:r>
        <w:rPr>
          <w:rFonts w:ascii="Arial" w:hAnsi="Arial" w:cs="Arial"/>
          <w:sz w:val="28"/>
          <w:szCs w:val="28"/>
          <w:lang w:val="el-GR"/>
        </w:rPr>
        <w:t xml:space="preserve"> προϋπόθεση του Νόμου.  </w:t>
      </w:r>
    </w:p>
    <w:p w14:paraId="5080133A" w14:textId="77777777" w:rsidR="004E6EDE" w:rsidRDefault="004E6EDE" w:rsidP="00FD4789">
      <w:pPr>
        <w:spacing w:line="480" w:lineRule="auto"/>
        <w:ind w:right="237"/>
        <w:jc w:val="both"/>
        <w:rPr>
          <w:rFonts w:ascii="Arial" w:hAnsi="Arial" w:cs="Arial"/>
          <w:sz w:val="28"/>
          <w:szCs w:val="28"/>
          <w:lang w:val="el-GR"/>
        </w:rPr>
      </w:pPr>
    </w:p>
    <w:p w14:paraId="2ED59E0C" w14:textId="1690EA7A" w:rsidR="00152633" w:rsidRDefault="00152633" w:rsidP="00FD4789">
      <w:pPr>
        <w:spacing w:line="480" w:lineRule="auto"/>
        <w:ind w:right="237"/>
        <w:jc w:val="both"/>
        <w:rPr>
          <w:rFonts w:ascii="Arial" w:hAnsi="Arial" w:cs="Arial"/>
          <w:sz w:val="28"/>
          <w:szCs w:val="28"/>
          <w:lang w:val="el-GR"/>
        </w:rPr>
      </w:pPr>
      <w:r>
        <w:rPr>
          <w:rFonts w:ascii="Arial" w:hAnsi="Arial" w:cs="Arial"/>
          <w:sz w:val="28"/>
          <w:szCs w:val="28"/>
          <w:lang w:val="el-GR"/>
        </w:rPr>
        <w:t>Αναφορικά με την ερμηνεία νομοθετήματος θα πρέπει να λεχθεί πως ο βασικός κανόνας ερμηνείας είναι η γραμματική ερμηνεία.  Μόνο όπου η γραμματική ερμηνεία δεν είναι ξεκάθαρη, το Δικαστήριο προχωρά να εξετάσει το σκοπό του Νομοθέτη.</w:t>
      </w:r>
    </w:p>
    <w:p w14:paraId="0DB75136" w14:textId="77777777" w:rsidR="00152633" w:rsidRDefault="00152633" w:rsidP="00FD4789">
      <w:pPr>
        <w:spacing w:line="480" w:lineRule="auto"/>
        <w:ind w:right="237"/>
        <w:jc w:val="both"/>
        <w:rPr>
          <w:rFonts w:ascii="Arial" w:hAnsi="Arial" w:cs="Arial"/>
          <w:sz w:val="28"/>
          <w:szCs w:val="28"/>
          <w:lang w:val="el-GR"/>
        </w:rPr>
      </w:pPr>
    </w:p>
    <w:p w14:paraId="1516A464" w14:textId="78347E78" w:rsidR="00152633" w:rsidRDefault="00152633" w:rsidP="00FD4789">
      <w:pPr>
        <w:spacing w:line="480" w:lineRule="auto"/>
        <w:ind w:right="237"/>
        <w:jc w:val="both"/>
        <w:rPr>
          <w:rFonts w:ascii="Arial" w:hAnsi="Arial" w:cs="Arial"/>
          <w:sz w:val="28"/>
          <w:szCs w:val="28"/>
          <w:lang w:val="el-GR"/>
        </w:rPr>
      </w:pPr>
      <w:proofErr w:type="spellStart"/>
      <w:r>
        <w:rPr>
          <w:rFonts w:ascii="Arial" w:hAnsi="Arial" w:cs="Arial"/>
          <w:sz w:val="28"/>
          <w:szCs w:val="28"/>
          <w:lang w:val="el-GR"/>
        </w:rPr>
        <w:lastRenderedPageBreak/>
        <w:t>Πόσω</w:t>
      </w:r>
      <w:proofErr w:type="spellEnd"/>
      <w:r>
        <w:rPr>
          <w:rFonts w:ascii="Arial" w:hAnsi="Arial" w:cs="Arial"/>
          <w:sz w:val="28"/>
          <w:szCs w:val="28"/>
          <w:lang w:val="el-GR"/>
        </w:rPr>
        <w:t xml:space="preserve"> μάλλον, αυτό ισχύει για φορολογικούς νόμους</w:t>
      </w:r>
      <w:r w:rsidR="00723D59">
        <w:rPr>
          <w:rFonts w:ascii="Arial" w:hAnsi="Arial" w:cs="Arial"/>
          <w:sz w:val="28"/>
          <w:szCs w:val="28"/>
          <w:lang w:val="el-GR"/>
        </w:rPr>
        <w:t xml:space="preserve"> ή νόμους που </w:t>
      </w:r>
      <w:r w:rsidR="00B216BC">
        <w:rPr>
          <w:rFonts w:ascii="Arial" w:hAnsi="Arial" w:cs="Arial"/>
          <w:sz w:val="28"/>
          <w:szCs w:val="28"/>
          <w:lang w:val="el-GR"/>
        </w:rPr>
        <w:t>επι</w:t>
      </w:r>
      <w:r w:rsidR="00723D59">
        <w:rPr>
          <w:rFonts w:ascii="Arial" w:hAnsi="Arial" w:cs="Arial"/>
          <w:sz w:val="28"/>
          <w:szCs w:val="28"/>
          <w:lang w:val="el-GR"/>
        </w:rPr>
        <w:t>βάλλουν τέλη ή δασμούς</w:t>
      </w:r>
      <w:r>
        <w:rPr>
          <w:rFonts w:ascii="Arial" w:hAnsi="Arial" w:cs="Arial"/>
          <w:sz w:val="28"/>
          <w:szCs w:val="28"/>
          <w:lang w:val="el-GR"/>
        </w:rPr>
        <w:t>.</w:t>
      </w:r>
    </w:p>
    <w:p w14:paraId="5230347D" w14:textId="77777777" w:rsidR="00152633" w:rsidRDefault="00152633" w:rsidP="00FD4789">
      <w:pPr>
        <w:spacing w:line="480" w:lineRule="auto"/>
        <w:ind w:right="237"/>
        <w:jc w:val="both"/>
        <w:rPr>
          <w:rFonts w:ascii="Arial" w:hAnsi="Arial" w:cs="Arial"/>
          <w:sz w:val="28"/>
          <w:szCs w:val="28"/>
          <w:lang w:val="el-GR"/>
        </w:rPr>
      </w:pPr>
    </w:p>
    <w:p w14:paraId="0FAE00A4" w14:textId="5F535A48" w:rsidR="00152633" w:rsidRDefault="00152633" w:rsidP="00FD4789">
      <w:pPr>
        <w:spacing w:line="480" w:lineRule="auto"/>
        <w:ind w:right="237"/>
        <w:jc w:val="both"/>
        <w:rPr>
          <w:rFonts w:ascii="Arial" w:hAnsi="Arial" w:cs="Arial"/>
          <w:sz w:val="28"/>
          <w:szCs w:val="28"/>
          <w:lang w:val="el-GR"/>
        </w:rPr>
      </w:pPr>
      <w:r>
        <w:rPr>
          <w:rFonts w:ascii="Arial" w:hAnsi="Arial" w:cs="Arial"/>
          <w:sz w:val="28"/>
          <w:szCs w:val="28"/>
          <w:lang w:val="el-GR"/>
        </w:rPr>
        <w:t xml:space="preserve">Στη </w:t>
      </w:r>
      <w:r>
        <w:rPr>
          <w:rFonts w:ascii="Arial" w:hAnsi="Arial" w:cs="Arial"/>
          <w:b/>
          <w:bCs/>
          <w:i/>
          <w:iCs/>
          <w:sz w:val="28"/>
          <w:szCs w:val="28"/>
          <w:lang w:val="el-GR"/>
        </w:rPr>
        <w:t xml:space="preserve">Δήμος </w:t>
      </w:r>
      <w:proofErr w:type="spellStart"/>
      <w:r>
        <w:rPr>
          <w:rFonts w:ascii="Arial" w:hAnsi="Arial" w:cs="Arial"/>
          <w:b/>
          <w:bCs/>
          <w:i/>
          <w:iCs/>
          <w:sz w:val="28"/>
          <w:szCs w:val="28"/>
          <w:lang w:val="el-GR"/>
        </w:rPr>
        <w:t>Γαλατάκης</w:t>
      </w:r>
      <w:proofErr w:type="spellEnd"/>
      <w:r>
        <w:rPr>
          <w:rFonts w:ascii="Arial" w:hAnsi="Arial" w:cs="Arial"/>
          <w:b/>
          <w:bCs/>
          <w:i/>
          <w:iCs/>
          <w:sz w:val="28"/>
          <w:szCs w:val="28"/>
          <w:lang w:val="el-GR"/>
        </w:rPr>
        <w:t xml:space="preserve"> </w:t>
      </w:r>
      <w:proofErr w:type="spellStart"/>
      <w:r>
        <w:rPr>
          <w:rFonts w:ascii="Arial" w:hAnsi="Arial" w:cs="Arial"/>
          <w:b/>
          <w:bCs/>
          <w:i/>
          <w:iCs/>
          <w:sz w:val="28"/>
          <w:szCs w:val="28"/>
          <w:lang w:val="el-GR"/>
        </w:rPr>
        <w:t>Λτδ</w:t>
      </w:r>
      <w:proofErr w:type="spellEnd"/>
      <w:r>
        <w:rPr>
          <w:rFonts w:ascii="Arial" w:hAnsi="Arial" w:cs="Arial"/>
          <w:b/>
          <w:bCs/>
          <w:i/>
          <w:iCs/>
          <w:sz w:val="28"/>
          <w:szCs w:val="28"/>
          <w:lang w:val="el-GR"/>
        </w:rPr>
        <w:t xml:space="preserve"> ν. Δημοκρατίας (2008)3 Α.Α.Δ. 78 </w:t>
      </w:r>
      <w:r>
        <w:rPr>
          <w:rFonts w:ascii="Arial" w:hAnsi="Arial" w:cs="Arial"/>
          <w:sz w:val="28"/>
          <w:szCs w:val="28"/>
          <w:lang w:val="el-GR"/>
        </w:rPr>
        <w:t>αναφέρονται τα εξής σχετικά:</w:t>
      </w:r>
    </w:p>
    <w:p w14:paraId="7E523EDA" w14:textId="304F79DA" w:rsidR="00152633" w:rsidRDefault="00456113" w:rsidP="00FD4789">
      <w:pPr>
        <w:ind w:left="567" w:right="237"/>
        <w:jc w:val="both"/>
        <w:rPr>
          <w:rFonts w:ascii="Arial" w:hAnsi="Arial" w:cs="Arial"/>
          <w:lang w:val="el-GR"/>
        </w:rPr>
      </w:pPr>
      <w:r w:rsidRPr="00456113">
        <w:rPr>
          <w:rFonts w:ascii="Arial" w:hAnsi="Arial" w:cs="Arial"/>
          <w:lang w:val="el-GR"/>
        </w:rPr>
        <w:t>«Ο βασικός κανόνας ερμηνείας νομοθετημάτων είναι η γραμματική ερμηνεία, δηλαδή το απλό γραμματικό και κατά κυριολεξία</w:t>
      </w:r>
      <w:r>
        <w:rPr>
          <w:rFonts w:ascii="Arial" w:hAnsi="Arial" w:cs="Arial"/>
          <w:lang w:val="el-GR"/>
        </w:rPr>
        <w:t xml:space="preserve"> </w:t>
      </w:r>
      <w:r w:rsidRPr="00456113">
        <w:rPr>
          <w:rFonts w:ascii="Arial" w:hAnsi="Arial" w:cs="Arial"/>
          <w:lang w:val="el-GR"/>
        </w:rPr>
        <w:t>νόημα των λέξεων (δέστε Γεωργιάδης &amp; Υιός v. Δημοκρατίας (1991) 4 Α.Α.Δ. 142). Όπου όμως η γραμματική ερμηνεία δεν είναι ξεκάθαρη, λαμβάνεται υπόψη η πρόθεση του νομοθέτη και σε τέτοια περίπτωση εξετάζεται ολόκληρο το σχετικό μέρος του Νόμου ή και ολόκληρος ο Νόμος, καθώς επίσης και η ανάγκη ή το κακό που σκόπευε να θεραπεύσει, ανάλογα με την περίπτωση. Όπως ορθά επισημαίνει το πρωτόδικο Δικαστήριο, φορολογικοί και ποινικοί νόμοι πρέπει να ερμηνεύονται αυστηρά και όπου υπάρχει αμφιβολία να δίδεται η ερμηνεία εκείνη που είναι υπέρ του πολίτη. Τέλος, πρέπει να λαμβάνεται υπόψη η αρχή ότι διατάξεις που αφορούν φορολογική απαλλαγή πρέπει να ερμηνεύονται στενά</w:t>
      </w:r>
      <w:r>
        <w:rPr>
          <w:rFonts w:ascii="Arial" w:hAnsi="Arial" w:cs="Arial"/>
          <w:lang w:val="el-GR"/>
        </w:rPr>
        <w:t>»</w:t>
      </w:r>
      <w:r w:rsidRPr="00456113">
        <w:rPr>
          <w:rFonts w:ascii="Arial" w:hAnsi="Arial" w:cs="Arial"/>
          <w:lang w:val="el-GR"/>
        </w:rPr>
        <w:t>.</w:t>
      </w:r>
    </w:p>
    <w:p w14:paraId="1EA8D617" w14:textId="77777777" w:rsidR="00456113" w:rsidRDefault="00456113" w:rsidP="00FD4789">
      <w:pPr>
        <w:ind w:left="567" w:right="237"/>
        <w:jc w:val="both"/>
        <w:rPr>
          <w:rFonts w:ascii="Arial" w:hAnsi="Arial" w:cs="Arial"/>
          <w:lang w:val="el-GR"/>
        </w:rPr>
      </w:pPr>
    </w:p>
    <w:p w14:paraId="453311EF" w14:textId="77777777" w:rsidR="004E6EDE" w:rsidRDefault="004E6EDE" w:rsidP="00FD4789">
      <w:pPr>
        <w:spacing w:line="480" w:lineRule="auto"/>
        <w:ind w:right="237"/>
        <w:jc w:val="both"/>
        <w:rPr>
          <w:rFonts w:ascii="Arial" w:hAnsi="Arial" w:cs="Arial"/>
          <w:sz w:val="28"/>
          <w:szCs w:val="28"/>
          <w:lang w:val="el-GR"/>
        </w:rPr>
      </w:pPr>
    </w:p>
    <w:p w14:paraId="39CB2065" w14:textId="21B6BE47" w:rsidR="00456113" w:rsidRDefault="00456113" w:rsidP="00FD4789">
      <w:pPr>
        <w:spacing w:line="480" w:lineRule="auto"/>
        <w:ind w:right="237"/>
        <w:jc w:val="both"/>
        <w:rPr>
          <w:rFonts w:ascii="Arial" w:hAnsi="Arial" w:cs="Arial"/>
          <w:sz w:val="28"/>
          <w:szCs w:val="28"/>
          <w:lang w:val="el-GR"/>
        </w:rPr>
      </w:pPr>
      <w:r>
        <w:rPr>
          <w:rFonts w:ascii="Arial" w:hAnsi="Arial" w:cs="Arial"/>
          <w:sz w:val="28"/>
          <w:szCs w:val="28"/>
          <w:lang w:val="el-GR"/>
        </w:rPr>
        <w:t>Η γραμματική ερμηνεία του επίμαχου άρθρου ήταν σωστή πορεία εν προκειμένω και δεν ήταν αναγκαία η αναμόχλευση των σκοπών του Νόμου</w:t>
      </w:r>
      <w:r w:rsidR="00263A05">
        <w:rPr>
          <w:rFonts w:ascii="Arial" w:hAnsi="Arial" w:cs="Arial"/>
          <w:sz w:val="28"/>
          <w:szCs w:val="28"/>
          <w:lang w:val="el-GR"/>
        </w:rPr>
        <w:t>.</w:t>
      </w:r>
      <w:r>
        <w:rPr>
          <w:rFonts w:ascii="Arial" w:hAnsi="Arial" w:cs="Arial"/>
          <w:sz w:val="28"/>
          <w:szCs w:val="28"/>
          <w:lang w:val="el-GR"/>
        </w:rPr>
        <w:t xml:space="preserve"> </w:t>
      </w:r>
      <w:r w:rsidR="00263A05">
        <w:rPr>
          <w:rFonts w:ascii="Arial" w:hAnsi="Arial" w:cs="Arial"/>
          <w:sz w:val="28"/>
          <w:szCs w:val="28"/>
          <w:lang w:val="el-GR"/>
        </w:rPr>
        <w:t xml:space="preserve"> Ω</w:t>
      </w:r>
      <w:r>
        <w:rPr>
          <w:rFonts w:ascii="Arial" w:hAnsi="Arial" w:cs="Arial"/>
          <w:sz w:val="28"/>
          <w:szCs w:val="28"/>
          <w:lang w:val="el-GR"/>
        </w:rPr>
        <w:t>στόσο</w:t>
      </w:r>
      <w:r w:rsidR="004E6EDE">
        <w:rPr>
          <w:rFonts w:ascii="Arial" w:hAnsi="Arial" w:cs="Arial"/>
          <w:sz w:val="28"/>
          <w:szCs w:val="28"/>
          <w:lang w:val="el-GR"/>
        </w:rPr>
        <w:t>,</w:t>
      </w:r>
      <w:r>
        <w:rPr>
          <w:rFonts w:ascii="Arial" w:hAnsi="Arial" w:cs="Arial"/>
          <w:sz w:val="28"/>
          <w:szCs w:val="28"/>
          <w:lang w:val="el-GR"/>
        </w:rPr>
        <w:t xml:space="preserve"> και εάν κάτι τέτοιο επιβαλλόταν</w:t>
      </w:r>
      <w:r w:rsidR="004E6EDE">
        <w:rPr>
          <w:rFonts w:ascii="Arial" w:hAnsi="Arial" w:cs="Arial"/>
          <w:sz w:val="28"/>
          <w:szCs w:val="28"/>
          <w:lang w:val="el-GR"/>
        </w:rPr>
        <w:t>,</w:t>
      </w:r>
      <w:r>
        <w:rPr>
          <w:rFonts w:ascii="Arial" w:hAnsi="Arial" w:cs="Arial"/>
          <w:sz w:val="28"/>
          <w:szCs w:val="28"/>
          <w:lang w:val="el-GR"/>
        </w:rPr>
        <w:t xml:space="preserve"> δεν βρίσκουμε πως η ερμηνεία που δόθηκε δεν εναρ</w:t>
      </w:r>
      <w:r w:rsidR="0092363B">
        <w:rPr>
          <w:rFonts w:ascii="Arial" w:hAnsi="Arial" w:cs="Arial"/>
          <w:sz w:val="28"/>
          <w:szCs w:val="28"/>
          <w:lang w:val="el-GR"/>
        </w:rPr>
        <w:t>μ</w:t>
      </w:r>
      <w:r>
        <w:rPr>
          <w:rFonts w:ascii="Arial" w:hAnsi="Arial" w:cs="Arial"/>
          <w:sz w:val="28"/>
          <w:szCs w:val="28"/>
          <w:lang w:val="el-GR"/>
        </w:rPr>
        <w:t>ονιζότα</w:t>
      </w:r>
      <w:r w:rsidR="0092363B">
        <w:rPr>
          <w:rFonts w:ascii="Arial" w:hAnsi="Arial" w:cs="Arial"/>
          <w:sz w:val="28"/>
          <w:szCs w:val="28"/>
          <w:lang w:val="el-GR"/>
        </w:rPr>
        <w:t>ν</w:t>
      </w:r>
      <w:r>
        <w:rPr>
          <w:rFonts w:ascii="Arial" w:hAnsi="Arial" w:cs="Arial"/>
          <w:sz w:val="28"/>
          <w:szCs w:val="28"/>
          <w:lang w:val="el-GR"/>
        </w:rPr>
        <w:t xml:space="preserve"> με τους σκοπούς του Νόμου.</w:t>
      </w:r>
    </w:p>
    <w:p w14:paraId="3194E169" w14:textId="77777777" w:rsidR="00456113" w:rsidRDefault="00456113" w:rsidP="00FD4789">
      <w:pPr>
        <w:spacing w:line="480" w:lineRule="auto"/>
        <w:ind w:right="237"/>
        <w:jc w:val="both"/>
        <w:rPr>
          <w:rFonts w:ascii="Arial" w:hAnsi="Arial" w:cs="Arial"/>
          <w:sz w:val="28"/>
          <w:szCs w:val="28"/>
          <w:lang w:val="el-GR"/>
        </w:rPr>
      </w:pPr>
    </w:p>
    <w:p w14:paraId="06EDE181" w14:textId="6639A30C" w:rsidR="004E6EDE" w:rsidRDefault="004E6EDE" w:rsidP="00FD4789">
      <w:pPr>
        <w:spacing w:line="480" w:lineRule="auto"/>
        <w:ind w:right="237"/>
        <w:jc w:val="both"/>
        <w:rPr>
          <w:rFonts w:ascii="Arial" w:hAnsi="Arial" w:cs="Arial"/>
          <w:sz w:val="28"/>
          <w:szCs w:val="28"/>
          <w:lang w:val="el-GR"/>
        </w:rPr>
      </w:pPr>
      <w:r>
        <w:rPr>
          <w:rFonts w:ascii="Arial" w:hAnsi="Arial" w:cs="Arial"/>
          <w:sz w:val="28"/>
          <w:szCs w:val="28"/>
          <w:lang w:val="el-GR"/>
        </w:rPr>
        <w:t xml:space="preserve">Θα πρέπει </w:t>
      </w:r>
      <w:r w:rsidR="00456113">
        <w:rPr>
          <w:rFonts w:ascii="Arial" w:hAnsi="Arial" w:cs="Arial"/>
          <w:sz w:val="28"/>
          <w:szCs w:val="28"/>
          <w:lang w:val="el-GR"/>
        </w:rPr>
        <w:t>να εξεταστεί εάν ορθά το πρωτόδικο Δικαστήριο προσέφυγε στην έννοια «οικόπεδο» σε ένα άλ</w:t>
      </w:r>
      <w:r>
        <w:rPr>
          <w:rFonts w:ascii="Arial" w:hAnsi="Arial" w:cs="Arial"/>
          <w:sz w:val="28"/>
          <w:szCs w:val="28"/>
          <w:lang w:val="el-GR"/>
        </w:rPr>
        <w:t>λ</w:t>
      </w:r>
      <w:r w:rsidR="00456113">
        <w:rPr>
          <w:rFonts w:ascii="Arial" w:hAnsi="Arial" w:cs="Arial"/>
          <w:sz w:val="28"/>
          <w:szCs w:val="28"/>
          <w:lang w:val="el-GR"/>
        </w:rPr>
        <w:t xml:space="preserve">ο Νόμο και δη </w:t>
      </w:r>
      <w:r w:rsidR="006C0A59">
        <w:rPr>
          <w:rFonts w:ascii="Arial" w:hAnsi="Arial" w:cs="Arial"/>
          <w:sz w:val="28"/>
          <w:szCs w:val="28"/>
          <w:lang w:val="el-GR"/>
        </w:rPr>
        <w:t>σ</w:t>
      </w:r>
      <w:r>
        <w:rPr>
          <w:rFonts w:ascii="Arial" w:hAnsi="Arial" w:cs="Arial"/>
          <w:sz w:val="28"/>
          <w:szCs w:val="28"/>
          <w:lang w:val="el-GR"/>
        </w:rPr>
        <w:t xml:space="preserve">τον ως άνω Νόμο, </w:t>
      </w:r>
      <w:r w:rsidR="00456113" w:rsidRPr="006C0A59">
        <w:rPr>
          <w:rFonts w:ascii="Arial" w:hAnsi="Arial" w:cs="Arial"/>
          <w:b/>
          <w:bCs/>
          <w:i/>
          <w:iCs/>
          <w:sz w:val="28"/>
          <w:szCs w:val="28"/>
          <w:lang w:val="el-GR"/>
        </w:rPr>
        <w:t>Ν.90/72,</w:t>
      </w:r>
      <w:r w:rsidR="00456113">
        <w:rPr>
          <w:rFonts w:ascii="Arial" w:hAnsi="Arial" w:cs="Arial"/>
          <w:sz w:val="28"/>
          <w:szCs w:val="28"/>
          <w:lang w:val="el-GR"/>
        </w:rPr>
        <w:t xml:space="preserve"> αφού στο </w:t>
      </w:r>
      <w:r w:rsidR="00456113" w:rsidRPr="006C0A59">
        <w:rPr>
          <w:rFonts w:ascii="Arial" w:hAnsi="Arial" w:cs="Arial"/>
          <w:b/>
          <w:bCs/>
          <w:i/>
          <w:iCs/>
          <w:sz w:val="28"/>
          <w:szCs w:val="28"/>
          <w:lang w:val="el-GR"/>
        </w:rPr>
        <w:t>Κεφ. 219</w:t>
      </w:r>
      <w:r w:rsidR="00456113">
        <w:rPr>
          <w:rFonts w:ascii="Arial" w:hAnsi="Arial" w:cs="Arial"/>
          <w:sz w:val="28"/>
          <w:szCs w:val="28"/>
          <w:lang w:val="el-GR"/>
        </w:rPr>
        <w:t xml:space="preserve"> δεν ερμηνεύεται </w:t>
      </w:r>
      <w:r>
        <w:rPr>
          <w:rFonts w:ascii="Arial" w:hAnsi="Arial" w:cs="Arial"/>
          <w:sz w:val="28"/>
          <w:szCs w:val="28"/>
          <w:lang w:val="el-GR"/>
        </w:rPr>
        <w:t>η έννοια</w:t>
      </w:r>
      <w:r w:rsidR="00456113">
        <w:rPr>
          <w:rFonts w:ascii="Arial" w:hAnsi="Arial" w:cs="Arial"/>
          <w:sz w:val="28"/>
          <w:szCs w:val="28"/>
          <w:lang w:val="el-GR"/>
        </w:rPr>
        <w:t>.</w:t>
      </w:r>
    </w:p>
    <w:p w14:paraId="23CFC34D" w14:textId="77777777" w:rsidR="004E6EDE" w:rsidRDefault="004E6EDE" w:rsidP="00FD4789">
      <w:pPr>
        <w:spacing w:line="480" w:lineRule="auto"/>
        <w:ind w:right="237"/>
        <w:jc w:val="both"/>
        <w:rPr>
          <w:rFonts w:ascii="Arial" w:hAnsi="Arial" w:cs="Arial"/>
          <w:sz w:val="28"/>
          <w:szCs w:val="28"/>
          <w:lang w:val="el-GR"/>
        </w:rPr>
      </w:pPr>
    </w:p>
    <w:p w14:paraId="310FD19B" w14:textId="637A6E9F" w:rsidR="00C91C9A" w:rsidRDefault="004E6EDE" w:rsidP="00FD4789">
      <w:pPr>
        <w:spacing w:line="480" w:lineRule="auto"/>
        <w:ind w:right="237"/>
        <w:jc w:val="both"/>
        <w:rPr>
          <w:rFonts w:ascii="Arial" w:hAnsi="Arial" w:cs="Arial"/>
          <w:sz w:val="28"/>
          <w:szCs w:val="28"/>
        </w:rPr>
      </w:pPr>
      <w:r>
        <w:rPr>
          <w:rFonts w:ascii="Arial" w:hAnsi="Arial" w:cs="Arial"/>
          <w:sz w:val="28"/>
          <w:szCs w:val="28"/>
          <w:lang w:val="el-GR"/>
        </w:rPr>
        <w:lastRenderedPageBreak/>
        <w:t xml:space="preserve">Για να είναι επιτρεπτή η χρήση όρου </w:t>
      </w:r>
      <w:r w:rsidR="006C0A59">
        <w:rPr>
          <w:rFonts w:ascii="Arial" w:hAnsi="Arial" w:cs="Arial"/>
          <w:sz w:val="28"/>
          <w:szCs w:val="28"/>
          <w:lang w:val="el-GR"/>
        </w:rPr>
        <w:t>που</w:t>
      </w:r>
      <w:r>
        <w:rPr>
          <w:rFonts w:ascii="Arial" w:hAnsi="Arial" w:cs="Arial"/>
          <w:sz w:val="28"/>
          <w:szCs w:val="28"/>
          <w:lang w:val="el-GR"/>
        </w:rPr>
        <w:t xml:space="preserve"> βρίσκεται σε άλλο νομοθέτημα από τον επίμαχο νόμο, θα πρέπει να κριθεί ότι οι δύο Νόμοι θεωρούνται </w:t>
      </w:r>
      <w:r>
        <w:rPr>
          <w:rFonts w:ascii="Arial" w:hAnsi="Arial" w:cs="Arial"/>
          <w:sz w:val="28"/>
          <w:szCs w:val="28"/>
        </w:rPr>
        <w:t>in</w:t>
      </w:r>
      <w:r w:rsidRPr="004E6EDE">
        <w:rPr>
          <w:rFonts w:ascii="Arial" w:hAnsi="Arial" w:cs="Arial"/>
          <w:sz w:val="28"/>
          <w:szCs w:val="28"/>
          <w:lang w:val="el-GR"/>
        </w:rPr>
        <w:t xml:space="preserve"> </w:t>
      </w:r>
      <w:proofErr w:type="spellStart"/>
      <w:r>
        <w:rPr>
          <w:rFonts w:ascii="Arial" w:hAnsi="Arial" w:cs="Arial"/>
          <w:sz w:val="28"/>
          <w:szCs w:val="28"/>
        </w:rPr>
        <w:t>pari</w:t>
      </w:r>
      <w:proofErr w:type="spellEnd"/>
      <w:r w:rsidRPr="004E6EDE">
        <w:rPr>
          <w:rFonts w:ascii="Arial" w:hAnsi="Arial" w:cs="Arial"/>
          <w:sz w:val="28"/>
          <w:szCs w:val="28"/>
          <w:lang w:val="el-GR"/>
        </w:rPr>
        <w:t xml:space="preserve"> </w:t>
      </w:r>
      <w:proofErr w:type="spellStart"/>
      <w:r>
        <w:rPr>
          <w:rFonts w:ascii="Arial" w:hAnsi="Arial" w:cs="Arial"/>
          <w:sz w:val="28"/>
          <w:szCs w:val="28"/>
        </w:rPr>
        <w:t>materia</w:t>
      </w:r>
      <w:proofErr w:type="spellEnd"/>
      <w:r>
        <w:rPr>
          <w:rFonts w:ascii="Arial" w:hAnsi="Arial" w:cs="Arial"/>
          <w:sz w:val="28"/>
          <w:szCs w:val="28"/>
          <w:lang w:val="el-GR"/>
        </w:rPr>
        <w:t xml:space="preserve">.  </w:t>
      </w:r>
      <w:r w:rsidR="00F13BE8">
        <w:rPr>
          <w:rFonts w:ascii="Arial" w:hAnsi="Arial" w:cs="Arial"/>
          <w:sz w:val="28"/>
          <w:szCs w:val="28"/>
          <w:lang w:val="el-GR"/>
        </w:rPr>
        <w:t>Για</w:t>
      </w:r>
      <w:r w:rsidR="00F13BE8" w:rsidRPr="00C91C9A">
        <w:rPr>
          <w:rFonts w:ascii="Arial" w:hAnsi="Arial" w:cs="Arial"/>
          <w:sz w:val="28"/>
          <w:szCs w:val="28"/>
        </w:rPr>
        <w:t xml:space="preserve"> </w:t>
      </w:r>
      <w:r w:rsidR="00F13BE8">
        <w:rPr>
          <w:rFonts w:ascii="Arial" w:hAnsi="Arial" w:cs="Arial"/>
          <w:sz w:val="28"/>
          <w:szCs w:val="28"/>
          <w:lang w:val="el-GR"/>
        </w:rPr>
        <w:t>το</w:t>
      </w:r>
      <w:r w:rsidR="00C91C9A" w:rsidRPr="00C91C9A">
        <w:rPr>
          <w:rFonts w:ascii="Arial" w:hAnsi="Arial" w:cs="Arial"/>
          <w:sz w:val="28"/>
          <w:szCs w:val="28"/>
        </w:rPr>
        <w:t xml:space="preserve"> </w:t>
      </w:r>
      <w:r w:rsidR="00C91C9A">
        <w:rPr>
          <w:rFonts w:ascii="Arial" w:hAnsi="Arial" w:cs="Arial"/>
          <w:sz w:val="28"/>
          <w:szCs w:val="28"/>
          <w:lang w:val="el-GR"/>
        </w:rPr>
        <w:t>θέμα</w:t>
      </w:r>
      <w:r w:rsidR="00F13BE8" w:rsidRPr="00C91C9A">
        <w:rPr>
          <w:rFonts w:ascii="Arial" w:hAnsi="Arial" w:cs="Arial"/>
          <w:sz w:val="28"/>
          <w:szCs w:val="28"/>
        </w:rPr>
        <w:t xml:space="preserve"> </w:t>
      </w:r>
      <w:r w:rsidR="00F13BE8">
        <w:rPr>
          <w:rFonts w:ascii="Arial" w:hAnsi="Arial" w:cs="Arial"/>
          <w:sz w:val="28"/>
          <w:szCs w:val="28"/>
          <w:lang w:val="el-GR"/>
        </w:rPr>
        <w:t>μπορούμε</w:t>
      </w:r>
      <w:r w:rsidR="00F13BE8" w:rsidRPr="00C91C9A">
        <w:rPr>
          <w:rFonts w:ascii="Arial" w:hAnsi="Arial" w:cs="Arial"/>
          <w:sz w:val="28"/>
          <w:szCs w:val="28"/>
        </w:rPr>
        <w:t xml:space="preserve"> </w:t>
      </w:r>
      <w:r w:rsidR="00F13BE8">
        <w:rPr>
          <w:rFonts w:ascii="Arial" w:hAnsi="Arial" w:cs="Arial"/>
          <w:sz w:val="28"/>
          <w:szCs w:val="28"/>
          <w:lang w:val="el-GR"/>
        </w:rPr>
        <w:t>να</w:t>
      </w:r>
      <w:r w:rsidR="00F13BE8" w:rsidRPr="00C91C9A">
        <w:rPr>
          <w:rFonts w:ascii="Arial" w:hAnsi="Arial" w:cs="Arial"/>
          <w:sz w:val="28"/>
          <w:szCs w:val="28"/>
        </w:rPr>
        <w:t xml:space="preserve"> </w:t>
      </w:r>
      <w:r w:rsidR="00F13BE8">
        <w:rPr>
          <w:rFonts w:ascii="Arial" w:hAnsi="Arial" w:cs="Arial"/>
          <w:sz w:val="28"/>
          <w:szCs w:val="28"/>
          <w:lang w:val="el-GR"/>
        </w:rPr>
        <w:t>αντλήσουμε</w:t>
      </w:r>
      <w:r w:rsidR="00F13BE8" w:rsidRPr="00C91C9A">
        <w:rPr>
          <w:rFonts w:ascii="Arial" w:hAnsi="Arial" w:cs="Arial"/>
          <w:sz w:val="28"/>
          <w:szCs w:val="28"/>
        </w:rPr>
        <w:t xml:space="preserve"> </w:t>
      </w:r>
      <w:r w:rsidR="00F13BE8">
        <w:rPr>
          <w:rFonts w:ascii="Arial" w:hAnsi="Arial" w:cs="Arial"/>
          <w:sz w:val="28"/>
          <w:szCs w:val="28"/>
          <w:lang w:val="el-GR"/>
        </w:rPr>
        <w:t>καθοδήγηση</w:t>
      </w:r>
      <w:r w:rsidR="00F13BE8" w:rsidRPr="00C91C9A">
        <w:rPr>
          <w:rFonts w:ascii="Arial" w:hAnsi="Arial" w:cs="Arial"/>
          <w:sz w:val="28"/>
          <w:szCs w:val="28"/>
        </w:rPr>
        <w:t xml:space="preserve"> </w:t>
      </w:r>
      <w:r w:rsidR="00F13BE8">
        <w:rPr>
          <w:rFonts w:ascii="Arial" w:hAnsi="Arial" w:cs="Arial"/>
          <w:sz w:val="28"/>
          <w:szCs w:val="28"/>
          <w:lang w:val="el-GR"/>
        </w:rPr>
        <w:t>από</w:t>
      </w:r>
      <w:r w:rsidR="00F13BE8" w:rsidRPr="00C91C9A">
        <w:rPr>
          <w:rFonts w:ascii="Arial" w:hAnsi="Arial" w:cs="Arial"/>
          <w:sz w:val="28"/>
          <w:szCs w:val="28"/>
        </w:rPr>
        <w:t xml:space="preserve"> </w:t>
      </w:r>
      <w:r w:rsidR="00F13BE8">
        <w:rPr>
          <w:rFonts w:ascii="Arial" w:hAnsi="Arial" w:cs="Arial"/>
          <w:sz w:val="28"/>
          <w:szCs w:val="28"/>
          <w:lang w:val="el-GR"/>
        </w:rPr>
        <w:t>τον</w:t>
      </w:r>
      <w:r w:rsidR="00F13BE8" w:rsidRPr="00C91C9A">
        <w:rPr>
          <w:rFonts w:ascii="Arial" w:hAnsi="Arial" w:cs="Arial"/>
          <w:sz w:val="28"/>
          <w:szCs w:val="28"/>
        </w:rPr>
        <w:t xml:space="preserve"> </w:t>
      </w:r>
      <w:r w:rsidR="00F13BE8" w:rsidRPr="00F13BE8">
        <w:rPr>
          <w:rFonts w:ascii="Arial" w:hAnsi="Arial" w:cs="Arial"/>
          <w:b/>
          <w:bCs/>
          <w:i/>
          <w:iCs/>
          <w:sz w:val="28"/>
          <w:szCs w:val="28"/>
        </w:rPr>
        <w:t>Halsbury</w:t>
      </w:r>
      <w:r w:rsidR="00F13BE8" w:rsidRPr="00C91C9A">
        <w:rPr>
          <w:rFonts w:ascii="Arial" w:hAnsi="Arial" w:cs="Arial"/>
          <w:b/>
          <w:bCs/>
          <w:i/>
          <w:iCs/>
          <w:sz w:val="28"/>
          <w:szCs w:val="28"/>
        </w:rPr>
        <w:t>’</w:t>
      </w:r>
      <w:r w:rsidR="00F13BE8" w:rsidRPr="00F13BE8">
        <w:rPr>
          <w:rFonts w:ascii="Arial" w:hAnsi="Arial" w:cs="Arial"/>
          <w:b/>
          <w:bCs/>
          <w:i/>
          <w:iCs/>
          <w:sz w:val="28"/>
          <w:szCs w:val="28"/>
        </w:rPr>
        <w:t>s</w:t>
      </w:r>
      <w:r w:rsidR="00F13BE8" w:rsidRPr="00C91C9A">
        <w:rPr>
          <w:rFonts w:ascii="Arial" w:hAnsi="Arial" w:cs="Arial"/>
          <w:b/>
          <w:bCs/>
          <w:i/>
          <w:iCs/>
          <w:sz w:val="28"/>
          <w:szCs w:val="28"/>
        </w:rPr>
        <w:t xml:space="preserve"> </w:t>
      </w:r>
      <w:r w:rsidR="00F13BE8" w:rsidRPr="00F13BE8">
        <w:rPr>
          <w:rFonts w:ascii="Arial" w:hAnsi="Arial" w:cs="Arial"/>
          <w:b/>
          <w:bCs/>
          <w:i/>
          <w:iCs/>
          <w:sz w:val="28"/>
          <w:szCs w:val="28"/>
        </w:rPr>
        <w:t>Law</w:t>
      </w:r>
      <w:r w:rsidR="006C0A59">
        <w:rPr>
          <w:rFonts w:ascii="Arial" w:hAnsi="Arial" w:cs="Arial"/>
          <w:b/>
          <w:bCs/>
          <w:i/>
          <w:iCs/>
          <w:sz w:val="28"/>
          <w:szCs w:val="28"/>
        </w:rPr>
        <w:t>s</w:t>
      </w:r>
      <w:r w:rsidR="00F13BE8" w:rsidRPr="00C91C9A">
        <w:rPr>
          <w:rFonts w:ascii="Arial" w:hAnsi="Arial" w:cs="Arial"/>
          <w:b/>
          <w:bCs/>
          <w:i/>
          <w:iCs/>
          <w:sz w:val="28"/>
          <w:szCs w:val="28"/>
        </w:rPr>
        <w:t xml:space="preserve"> </w:t>
      </w:r>
      <w:r w:rsidR="00F13BE8" w:rsidRPr="00F13BE8">
        <w:rPr>
          <w:rFonts w:ascii="Arial" w:hAnsi="Arial" w:cs="Arial"/>
          <w:b/>
          <w:bCs/>
          <w:i/>
          <w:iCs/>
          <w:sz w:val="28"/>
          <w:szCs w:val="28"/>
        </w:rPr>
        <w:t>of</w:t>
      </w:r>
      <w:r w:rsidR="00F13BE8" w:rsidRPr="00C91C9A">
        <w:rPr>
          <w:rFonts w:ascii="Arial" w:hAnsi="Arial" w:cs="Arial"/>
          <w:b/>
          <w:bCs/>
          <w:i/>
          <w:iCs/>
          <w:sz w:val="28"/>
          <w:szCs w:val="28"/>
        </w:rPr>
        <w:t xml:space="preserve"> </w:t>
      </w:r>
      <w:r w:rsidR="00F13BE8" w:rsidRPr="00F13BE8">
        <w:rPr>
          <w:rFonts w:ascii="Arial" w:hAnsi="Arial" w:cs="Arial"/>
          <w:b/>
          <w:bCs/>
          <w:i/>
          <w:iCs/>
          <w:sz w:val="28"/>
          <w:szCs w:val="28"/>
        </w:rPr>
        <w:t>England</w:t>
      </w:r>
      <w:r w:rsidR="00F13BE8" w:rsidRPr="00C91C9A">
        <w:rPr>
          <w:rFonts w:ascii="Arial" w:hAnsi="Arial" w:cs="Arial"/>
          <w:b/>
          <w:bCs/>
          <w:i/>
          <w:iCs/>
          <w:sz w:val="28"/>
          <w:szCs w:val="28"/>
        </w:rPr>
        <w:t xml:space="preserve">, </w:t>
      </w:r>
      <w:r w:rsidR="00C91C9A" w:rsidRPr="00C91C9A">
        <w:rPr>
          <w:rFonts w:ascii="Arial" w:hAnsi="Arial" w:cs="Arial"/>
          <w:b/>
          <w:bCs/>
          <w:i/>
          <w:iCs/>
          <w:sz w:val="28"/>
          <w:szCs w:val="28"/>
        </w:rPr>
        <w:t>3</w:t>
      </w:r>
      <w:r w:rsidR="00F13BE8" w:rsidRPr="00F13BE8">
        <w:rPr>
          <w:rFonts w:ascii="Arial" w:hAnsi="Arial" w:cs="Arial"/>
          <w:b/>
          <w:bCs/>
          <w:i/>
          <w:iCs/>
          <w:sz w:val="28"/>
          <w:szCs w:val="28"/>
          <w:vertAlign w:val="superscript"/>
          <w:lang w:val="el-GR"/>
        </w:rPr>
        <w:t>η</w:t>
      </w:r>
      <w:r w:rsidR="00F13BE8" w:rsidRPr="00C91C9A">
        <w:rPr>
          <w:rFonts w:ascii="Arial" w:hAnsi="Arial" w:cs="Arial"/>
          <w:b/>
          <w:bCs/>
          <w:i/>
          <w:iCs/>
          <w:sz w:val="28"/>
          <w:szCs w:val="28"/>
        </w:rPr>
        <w:t xml:space="preserve"> </w:t>
      </w:r>
      <w:r w:rsidR="00F13BE8" w:rsidRPr="00F13BE8">
        <w:rPr>
          <w:rFonts w:ascii="Arial" w:hAnsi="Arial" w:cs="Arial"/>
          <w:b/>
          <w:bCs/>
          <w:i/>
          <w:iCs/>
          <w:sz w:val="28"/>
          <w:szCs w:val="28"/>
          <w:lang w:val="el-GR"/>
        </w:rPr>
        <w:t>έκδοση</w:t>
      </w:r>
      <w:r w:rsidR="00F13BE8" w:rsidRPr="00C91C9A">
        <w:rPr>
          <w:rFonts w:ascii="Arial" w:hAnsi="Arial" w:cs="Arial"/>
          <w:b/>
          <w:bCs/>
          <w:i/>
          <w:iCs/>
          <w:sz w:val="28"/>
          <w:szCs w:val="28"/>
        </w:rPr>
        <w:t xml:space="preserve">, </w:t>
      </w:r>
      <w:r w:rsidR="00F13BE8" w:rsidRPr="00F13BE8">
        <w:rPr>
          <w:rFonts w:ascii="Arial" w:hAnsi="Arial" w:cs="Arial"/>
          <w:b/>
          <w:bCs/>
          <w:i/>
          <w:iCs/>
          <w:sz w:val="28"/>
          <w:szCs w:val="28"/>
          <w:lang w:val="el-GR"/>
        </w:rPr>
        <w:t>τόμος</w:t>
      </w:r>
      <w:r w:rsidR="00F13BE8" w:rsidRPr="00C91C9A">
        <w:rPr>
          <w:rFonts w:ascii="Arial" w:hAnsi="Arial" w:cs="Arial"/>
          <w:b/>
          <w:bCs/>
          <w:i/>
          <w:iCs/>
          <w:sz w:val="28"/>
          <w:szCs w:val="28"/>
        </w:rPr>
        <w:t xml:space="preserve"> </w:t>
      </w:r>
      <w:r w:rsidR="00C91C9A" w:rsidRPr="00C91C9A">
        <w:rPr>
          <w:rFonts w:ascii="Arial" w:hAnsi="Arial" w:cs="Arial"/>
          <w:b/>
          <w:bCs/>
          <w:i/>
          <w:iCs/>
          <w:sz w:val="28"/>
          <w:szCs w:val="28"/>
        </w:rPr>
        <w:t>36</w:t>
      </w:r>
      <w:r w:rsidR="00F13BE8" w:rsidRPr="00C91C9A">
        <w:rPr>
          <w:rFonts w:ascii="Arial" w:hAnsi="Arial" w:cs="Arial"/>
          <w:b/>
          <w:bCs/>
          <w:i/>
          <w:iCs/>
          <w:sz w:val="28"/>
          <w:szCs w:val="28"/>
        </w:rPr>
        <w:t xml:space="preserve">, </w:t>
      </w:r>
      <w:proofErr w:type="spellStart"/>
      <w:r w:rsidR="00F13BE8" w:rsidRPr="00F13BE8">
        <w:rPr>
          <w:rFonts w:ascii="Arial" w:hAnsi="Arial" w:cs="Arial"/>
          <w:b/>
          <w:bCs/>
          <w:i/>
          <w:iCs/>
          <w:sz w:val="28"/>
          <w:szCs w:val="28"/>
          <w:lang w:val="el-GR"/>
        </w:rPr>
        <w:t>σελ</w:t>
      </w:r>
      <w:proofErr w:type="spellEnd"/>
      <w:r w:rsidR="00F13BE8" w:rsidRPr="00C91C9A">
        <w:rPr>
          <w:rFonts w:ascii="Arial" w:hAnsi="Arial" w:cs="Arial"/>
          <w:b/>
          <w:bCs/>
          <w:i/>
          <w:iCs/>
          <w:sz w:val="28"/>
          <w:szCs w:val="28"/>
        </w:rPr>
        <w:t>.40</w:t>
      </w:r>
      <w:r w:rsidR="00C91C9A" w:rsidRPr="00C91C9A">
        <w:rPr>
          <w:rFonts w:ascii="Arial" w:hAnsi="Arial" w:cs="Arial"/>
          <w:b/>
          <w:bCs/>
          <w:i/>
          <w:iCs/>
          <w:sz w:val="28"/>
          <w:szCs w:val="28"/>
        </w:rPr>
        <w:t>2</w:t>
      </w:r>
      <w:r w:rsidR="00F13BE8" w:rsidRPr="00C91C9A">
        <w:rPr>
          <w:rFonts w:ascii="Arial" w:hAnsi="Arial" w:cs="Arial"/>
          <w:b/>
          <w:bCs/>
          <w:i/>
          <w:iCs/>
          <w:sz w:val="28"/>
          <w:szCs w:val="28"/>
        </w:rPr>
        <w:t xml:space="preserve">, </w:t>
      </w:r>
      <w:proofErr w:type="spellStart"/>
      <w:r w:rsidR="00F13BE8" w:rsidRPr="00F13BE8">
        <w:rPr>
          <w:rFonts w:ascii="Arial" w:hAnsi="Arial" w:cs="Arial"/>
          <w:b/>
          <w:bCs/>
          <w:i/>
          <w:iCs/>
          <w:sz w:val="28"/>
          <w:szCs w:val="28"/>
          <w:lang w:val="el-GR"/>
        </w:rPr>
        <w:t>παρ</w:t>
      </w:r>
      <w:proofErr w:type="spellEnd"/>
      <w:r w:rsidR="00F13BE8" w:rsidRPr="00C91C9A">
        <w:rPr>
          <w:rFonts w:ascii="Arial" w:hAnsi="Arial" w:cs="Arial"/>
          <w:b/>
          <w:bCs/>
          <w:i/>
          <w:iCs/>
          <w:sz w:val="28"/>
          <w:szCs w:val="28"/>
        </w:rPr>
        <w:t>.</w:t>
      </w:r>
      <w:r w:rsidR="00C91C9A" w:rsidRPr="00C91C9A">
        <w:rPr>
          <w:rFonts w:ascii="Arial" w:hAnsi="Arial" w:cs="Arial"/>
          <w:b/>
          <w:bCs/>
          <w:i/>
          <w:iCs/>
          <w:sz w:val="28"/>
          <w:szCs w:val="28"/>
        </w:rPr>
        <w:t>607</w:t>
      </w:r>
      <w:r w:rsidR="00F13BE8" w:rsidRPr="00C91C9A">
        <w:rPr>
          <w:rFonts w:ascii="Arial" w:hAnsi="Arial" w:cs="Arial"/>
          <w:sz w:val="28"/>
          <w:szCs w:val="28"/>
        </w:rPr>
        <w:t xml:space="preserve"> </w:t>
      </w:r>
      <w:r w:rsidR="00C91C9A">
        <w:rPr>
          <w:rFonts w:ascii="Arial" w:hAnsi="Arial" w:cs="Arial"/>
          <w:sz w:val="28"/>
          <w:szCs w:val="28"/>
          <w:lang w:val="el-GR"/>
        </w:rPr>
        <w:t>όπου</w:t>
      </w:r>
      <w:r w:rsidR="00C91C9A" w:rsidRPr="00C91C9A">
        <w:rPr>
          <w:rFonts w:ascii="Arial" w:hAnsi="Arial" w:cs="Arial"/>
          <w:sz w:val="28"/>
          <w:szCs w:val="28"/>
        </w:rPr>
        <w:t xml:space="preserve"> </w:t>
      </w:r>
      <w:r w:rsidR="00C91C9A">
        <w:rPr>
          <w:rFonts w:ascii="Arial" w:hAnsi="Arial" w:cs="Arial"/>
          <w:sz w:val="28"/>
          <w:szCs w:val="28"/>
          <w:lang w:val="el-GR"/>
        </w:rPr>
        <w:t>σημειώνεται</w:t>
      </w:r>
      <w:r w:rsidR="00C91C9A" w:rsidRPr="00C91C9A">
        <w:rPr>
          <w:rFonts w:ascii="Arial" w:hAnsi="Arial" w:cs="Arial"/>
          <w:sz w:val="28"/>
          <w:szCs w:val="28"/>
        </w:rPr>
        <w:t xml:space="preserve"> “</w:t>
      </w:r>
      <w:r w:rsidR="00C91C9A">
        <w:rPr>
          <w:rFonts w:ascii="Arial" w:hAnsi="Arial" w:cs="Arial"/>
          <w:sz w:val="28"/>
          <w:szCs w:val="28"/>
        </w:rPr>
        <w:t>All</w:t>
      </w:r>
      <w:r w:rsidR="00C91C9A" w:rsidRPr="00C91C9A">
        <w:rPr>
          <w:rFonts w:ascii="Arial" w:hAnsi="Arial" w:cs="Arial"/>
          <w:sz w:val="28"/>
          <w:szCs w:val="28"/>
        </w:rPr>
        <w:t xml:space="preserve"> </w:t>
      </w:r>
      <w:r w:rsidR="00C91C9A">
        <w:rPr>
          <w:rFonts w:ascii="Arial" w:hAnsi="Arial" w:cs="Arial"/>
          <w:sz w:val="28"/>
          <w:szCs w:val="28"/>
        </w:rPr>
        <w:t>statutes</w:t>
      </w:r>
      <w:r w:rsidR="00C91C9A" w:rsidRPr="00C91C9A">
        <w:rPr>
          <w:rFonts w:ascii="Arial" w:hAnsi="Arial" w:cs="Arial"/>
          <w:sz w:val="28"/>
          <w:szCs w:val="28"/>
        </w:rPr>
        <w:t xml:space="preserve"> </w:t>
      </w:r>
      <w:r w:rsidR="00C91C9A">
        <w:rPr>
          <w:rFonts w:ascii="Arial" w:hAnsi="Arial" w:cs="Arial"/>
          <w:sz w:val="28"/>
          <w:szCs w:val="28"/>
        </w:rPr>
        <w:t>made</w:t>
      </w:r>
      <w:r w:rsidR="00C91C9A" w:rsidRPr="00C91C9A">
        <w:rPr>
          <w:rFonts w:ascii="Arial" w:hAnsi="Arial" w:cs="Arial"/>
          <w:sz w:val="28"/>
          <w:szCs w:val="28"/>
        </w:rPr>
        <w:t xml:space="preserve"> </w:t>
      </w:r>
      <w:r w:rsidR="00C91C9A">
        <w:rPr>
          <w:rFonts w:ascii="Arial" w:hAnsi="Arial" w:cs="Arial"/>
          <w:i/>
          <w:iCs/>
          <w:sz w:val="28"/>
          <w:szCs w:val="28"/>
        </w:rPr>
        <w:t>in</w:t>
      </w:r>
      <w:r w:rsidR="00C91C9A" w:rsidRPr="00C91C9A">
        <w:rPr>
          <w:rFonts w:ascii="Arial" w:hAnsi="Arial" w:cs="Arial"/>
          <w:i/>
          <w:iCs/>
          <w:sz w:val="28"/>
          <w:szCs w:val="28"/>
        </w:rPr>
        <w:t xml:space="preserve"> </w:t>
      </w:r>
      <w:proofErr w:type="spellStart"/>
      <w:r w:rsidR="00C91C9A">
        <w:rPr>
          <w:rFonts w:ascii="Arial" w:hAnsi="Arial" w:cs="Arial"/>
          <w:i/>
          <w:iCs/>
          <w:sz w:val="28"/>
          <w:szCs w:val="28"/>
        </w:rPr>
        <w:t>pari</w:t>
      </w:r>
      <w:proofErr w:type="spellEnd"/>
      <w:r w:rsidR="00C91C9A" w:rsidRPr="00C91C9A">
        <w:rPr>
          <w:rFonts w:ascii="Arial" w:hAnsi="Arial" w:cs="Arial"/>
          <w:i/>
          <w:iCs/>
          <w:sz w:val="28"/>
          <w:szCs w:val="28"/>
        </w:rPr>
        <w:t xml:space="preserve"> </w:t>
      </w:r>
      <w:proofErr w:type="spellStart"/>
      <w:r w:rsidR="00C91C9A">
        <w:rPr>
          <w:rFonts w:ascii="Arial" w:hAnsi="Arial" w:cs="Arial"/>
          <w:i/>
          <w:iCs/>
          <w:sz w:val="28"/>
          <w:szCs w:val="28"/>
        </w:rPr>
        <w:t>materia</w:t>
      </w:r>
      <w:proofErr w:type="spellEnd"/>
      <w:r w:rsidR="00C91C9A" w:rsidRPr="00C91C9A">
        <w:rPr>
          <w:rFonts w:ascii="Arial" w:hAnsi="Arial" w:cs="Arial"/>
          <w:i/>
          <w:iCs/>
          <w:sz w:val="28"/>
          <w:szCs w:val="28"/>
        </w:rPr>
        <w:t xml:space="preserve"> </w:t>
      </w:r>
      <w:r w:rsidR="00C91C9A">
        <w:rPr>
          <w:rFonts w:ascii="Arial" w:hAnsi="Arial" w:cs="Arial"/>
          <w:sz w:val="28"/>
          <w:szCs w:val="28"/>
        </w:rPr>
        <w:t>should</w:t>
      </w:r>
      <w:r w:rsidR="00C91C9A" w:rsidRPr="00C91C9A">
        <w:rPr>
          <w:rFonts w:ascii="Arial" w:hAnsi="Arial" w:cs="Arial"/>
          <w:sz w:val="28"/>
          <w:szCs w:val="28"/>
        </w:rPr>
        <w:t xml:space="preserve"> </w:t>
      </w:r>
      <w:r w:rsidR="00C91C9A">
        <w:rPr>
          <w:rFonts w:ascii="Arial" w:hAnsi="Arial" w:cs="Arial"/>
          <w:sz w:val="28"/>
          <w:szCs w:val="28"/>
        </w:rPr>
        <w:t>be</w:t>
      </w:r>
      <w:r w:rsidR="00C91C9A" w:rsidRPr="00C91C9A">
        <w:rPr>
          <w:rFonts w:ascii="Arial" w:hAnsi="Arial" w:cs="Arial"/>
          <w:sz w:val="28"/>
          <w:szCs w:val="28"/>
        </w:rPr>
        <w:t xml:space="preserve"> </w:t>
      </w:r>
      <w:r w:rsidR="00C91C9A">
        <w:rPr>
          <w:rFonts w:ascii="Arial" w:hAnsi="Arial" w:cs="Arial"/>
          <w:sz w:val="28"/>
          <w:szCs w:val="28"/>
        </w:rPr>
        <w:t>construed</w:t>
      </w:r>
      <w:r w:rsidR="00C91C9A" w:rsidRPr="00C91C9A">
        <w:rPr>
          <w:rFonts w:ascii="Arial" w:hAnsi="Arial" w:cs="Arial"/>
          <w:sz w:val="28"/>
          <w:szCs w:val="28"/>
        </w:rPr>
        <w:t xml:space="preserve"> </w:t>
      </w:r>
      <w:r w:rsidR="00C91C9A">
        <w:rPr>
          <w:rFonts w:ascii="Arial" w:hAnsi="Arial" w:cs="Arial"/>
          <w:sz w:val="28"/>
          <w:szCs w:val="28"/>
        </w:rPr>
        <w:t>together</w:t>
      </w:r>
      <w:r w:rsidR="00C91C9A" w:rsidRPr="00C91C9A">
        <w:rPr>
          <w:rFonts w:ascii="Arial" w:hAnsi="Arial" w:cs="Arial"/>
          <w:sz w:val="28"/>
          <w:szCs w:val="28"/>
        </w:rPr>
        <w:t xml:space="preserve"> </w:t>
      </w:r>
      <w:r w:rsidR="00C91C9A">
        <w:rPr>
          <w:rFonts w:ascii="Arial" w:hAnsi="Arial" w:cs="Arial"/>
          <w:sz w:val="28"/>
          <w:szCs w:val="28"/>
        </w:rPr>
        <w:t>as</w:t>
      </w:r>
      <w:r w:rsidR="00C91C9A" w:rsidRPr="00C91C9A">
        <w:rPr>
          <w:rFonts w:ascii="Arial" w:hAnsi="Arial" w:cs="Arial"/>
          <w:sz w:val="28"/>
          <w:szCs w:val="28"/>
        </w:rPr>
        <w:t xml:space="preserve"> </w:t>
      </w:r>
      <w:r w:rsidR="00C91C9A">
        <w:rPr>
          <w:rFonts w:ascii="Arial" w:hAnsi="Arial" w:cs="Arial"/>
          <w:sz w:val="28"/>
          <w:szCs w:val="28"/>
        </w:rPr>
        <w:t>one</w:t>
      </w:r>
      <w:r w:rsidR="00C91C9A" w:rsidRPr="00C91C9A">
        <w:rPr>
          <w:rFonts w:ascii="Arial" w:hAnsi="Arial" w:cs="Arial"/>
          <w:sz w:val="28"/>
          <w:szCs w:val="28"/>
        </w:rPr>
        <w:t xml:space="preserve"> </w:t>
      </w:r>
      <w:r w:rsidR="00C91C9A">
        <w:rPr>
          <w:rFonts w:ascii="Arial" w:hAnsi="Arial" w:cs="Arial"/>
          <w:sz w:val="28"/>
          <w:szCs w:val="28"/>
        </w:rPr>
        <w:t>system</w:t>
      </w:r>
      <w:r w:rsidR="00C91C9A" w:rsidRPr="00C91C9A">
        <w:rPr>
          <w:rFonts w:ascii="Arial" w:hAnsi="Arial" w:cs="Arial"/>
          <w:sz w:val="28"/>
          <w:szCs w:val="28"/>
        </w:rPr>
        <w:t xml:space="preserve"> </w:t>
      </w:r>
      <w:r w:rsidR="00C91C9A">
        <w:rPr>
          <w:rFonts w:ascii="Arial" w:hAnsi="Arial" w:cs="Arial"/>
          <w:sz w:val="28"/>
          <w:szCs w:val="28"/>
        </w:rPr>
        <w:t>and</w:t>
      </w:r>
      <w:r w:rsidR="00C91C9A" w:rsidRPr="00C91C9A">
        <w:rPr>
          <w:rFonts w:ascii="Arial" w:hAnsi="Arial" w:cs="Arial"/>
          <w:sz w:val="28"/>
          <w:szCs w:val="28"/>
        </w:rPr>
        <w:t xml:space="preserve"> </w:t>
      </w:r>
      <w:r w:rsidR="00C91C9A">
        <w:rPr>
          <w:rFonts w:ascii="Arial" w:hAnsi="Arial" w:cs="Arial"/>
          <w:sz w:val="28"/>
          <w:szCs w:val="28"/>
        </w:rPr>
        <w:t>as</w:t>
      </w:r>
      <w:r w:rsidR="00C91C9A" w:rsidRPr="00C91C9A">
        <w:rPr>
          <w:rFonts w:ascii="Arial" w:hAnsi="Arial" w:cs="Arial"/>
          <w:sz w:val="28"/>
          <w:szCs w:val="28"/>
        </w:rPr>
        <w:t xml:space="preserve"> </w:t>
      </w:r>
      <w:r w:rsidR="00C91C9A">
        <w:rPr>
          <w:rFonts w:ascii="Arial" w:hAnsi="Arial" w:cs="Arial"/>
          <w:sz w:val="28"/>
          <w:szCs w:val="28"/>
        </w:rPr>
        <w:t>explanatory</w:t>
      </w:r>
      <w:r w:rsidR="00C91C9A" w:rsidRPr="00C91C9A">
        <w:rPr>
          <w:rFonts w:ascii="Arial" w:hAnsi="Arial" w:cs="Arial"/>
          <w:sz w:val="28"/>
          <w:szCs w:val="28"/>
        </w:rPr>
        <w:t xml:space="preserve"> </w:t>
      </w:r>
      <w:r w:rsidR="00C91C9A">
        <w:rPr>
          <w:rFonts w:ascii="Arial" w:hAnsi="Arial" w:cs="Arial"/>
          <w:sz w:val="28"/>
          <w:szCs w:val="28"/>
        </w:rPr>
        <w:t>of</w:t>
      </w:r>
      <w:r w:rsidR="00C91C9A" w:rsidRPr="00C91C9A">
        <w:rPr>
          <w:rFonts w:ascii="Arial" w:hAnsi="Arial" w:cs="Arial"/>
          <w:sz w:val="28"/>
          <w:szCs w:val="28"/>
        </w:rPr>
        <w:t xml:space="preserve"> </w:t>
      </w:r>
      <w:r w:rsidR="00C91C9A">
        <w:rPr>
          <w:rFonts w:ascii="Arial" w:hAnsi="Arial" w:cs="Arial"/>
          <w:sz w:val="28"/>
          <w:szCs w:val="28"/>
        </w:rPr>
        <w:t>each</w:t>
      </w:r>
      <w:r w:rsidR="00C91C9A" w:rsidRPr="00C91C9A">
        <w:rPr>
          <w:rFonts w:ascii="Arial" w:hAnsi="Arial" w:cs="Arial"/>
          <w:sz w:val="28"/>
          <w:szCs w:val="28"/>
        </w:rPr>
        <w:t xml:space="preserve"> </w:t>
      </w:r>
      <w:r w:rsidR="00C91C9A">
        <w:rPr>
          <w:rFonts w:ascii="Arial" w:hAnsi="Arial" w:cs="Arial"/>
          <w:sz w:val="28"/>
          <w:szCs w:val="28"/>
        </w:rPr>
        <w:t>other</w:t>
      </w:r>
      <w:r w:rsidR="00C91C9A" w:rsidRPr="00C91C9A">
        <w:rPr>
          <w:rFonts w:ascii="Arial" w:hAnsi="Arial" w:cs="Arial"/>
          <w:sz w:val="28"/>
          <w:szCs w:val="28"/>
        </w:rPr>
        <w:t xml:space="preserve">, </w:t>
      </w:r>
      <w:r w:rsidR="00C91C9A">
        <w:rPr>
          <w:rFonts w:ascii="Arial" w:hAnsi="Arial" w:cs="Arial"/>
          <w:sz w:val="28"/>
          <w:szCs w:val="28"/>
        </w:rPr>
        <w:t>so</w:t>
      </w:r>
      <w:r w:rsidR="00C91C9A" w:rsidRPr="00C91C9A">
        <w:rPr>
          <w:rFonts w:ascii="Arial" w:hAnsi="Arial" w:cs="Arial"/>
          <w:sz w:val="28"/>
          <w:szCs w:val="28"/>
        </w:rPr>
        <w:t xml:space="preserve"> </w:t>
      </w:r>
      <w:r w:rsidR="00C91C9A">
        <w:rPr>
          <w:rFonts w:ascii="Arial" w:hAnsi="Arial" w:cs="Arial"/>
          <w:sz w:val="28"/>
          <w:szCs w:val="28"/>
        </w:rPr>
        <w:t>that</w:t>
      </w:r>
      <w:r w:rsidR="00C91C9A" w:rsidRPr="00C91C9A">
        <w:rPr>
          <w:rFonts w:ascii="Arial" w:hAnsi="Arial" w:cs="Arial"/>
          <w:sz w:val="28"/>
          <w:szCs w:val="28"/>
        </w:rPr>
        <w:t xml:space="preserve"> </w:t>
      </w:r>
      <w:r w:rsidR="00C91C9A">
        <w:rPr>
          <w:rFonts w:ascii="Arial" w:hAnsi="Arial" w:cs="Arial"/>
          <w:sz w:val="28"/>
          <w:szCs w:val="28"/>
        </w:rPr>
        <w:t>when</w:t>
      </w:r>
      <w:r w:rsidR="00C91C9A" w:rsidRPr="00C91C9A">
        <w:rPr>
          <w:rFonts w:ascii="Arial" w:hAnsi="Arial" w:cs="Arial"/>
          <w:sz w:val="28"/>
          <w:szCs w:val="28"/>
        </w:rPr>
        <w:t xml:space="preserve"> </w:t>
      </w:r>
      <w:r w:rsidR="00C91C9A">
        <w:rPr>
          <w:rFonts w:ascii="Arial" w:hAnsi="Arial" w:cs="Arial"/>
          <w:sz w:val="28"/>
          <w:szCs w:val="28"/>
        </w:rPr>
        <w:t>there</w:t>
      </w:r>
      <w:r w:rsidR="00C91C9A" w:rsidRPr="00C91C9A">
        <w:rPr>
          <w:rFonts w:ascii="Arial" w:hAnsi="Arial" w:cs="Arial"/>
          <w:sz w:val="28"/>
          <w:szCs w:val="28"/>
        </w:rPr>
        <w:t xml:space="preserve"> </w:t>
      </w:r>
      <w:r w:rsidR="00C91C9A">
        <w:rPr>
          <w:rFonts w:ascii="Arial" w:hAnsi="Arial" w:cs="Arial"/>
          <w:sz w:val="28"/>
          <w:szCs w:val="28"/>
        </w:rPr>
        <w:t>is an ambiguity in one it may be explained by reference to another statute in the same system .”</w:t>
      </w:r>
    </w:p>
    <w:p w14:paraId="288FC0C9" w14:textId="77777777" w:rsidR="00B6571A" w:rsidRDefault="00B6571A" w:rsidP="00FD4789">
      <w:pPr>
        <w:spacing w:line="480" w:lineRule="auto"/>
        <w:ind w:right="237"/>
        <w:jc w:val="both"/>
        <w:rPr>
          <w:rFonts w:ascii="Arial" w:hAnsi="Arial" w:cs="Arial"/>
          <w:sz w:val="28"/>
          <w:szCs w:val="28"/>
        </w:rPr>
      </w:pPr>
    </w:p>
    <w:p w14:paraId="06A89A80" w14:textId="79A77711" w:rsidR="00F13BE8" w:rsidRPr="00B6571A" w:rsidRDefault="00723D59" w:rsidP="00FD4789">
      <w:pPr>
        <w:spacing w:line="480" w:lineRule="auto"/>
        <w:ind w:right="237"/>
        <w:jc w:val="both"/>
        <w:rPr>
          <w:rFonts w:ascii="Arial" w:hAnsi="Arial" w:cs="Arial"/>
          <w:sz w:val="28"/>
          <w:szCs w:val="28"/>
          <w:lang w:val="el-GR"/>
        </w:rPr>
      </w:pPr>
      <w:r w:rsidRPr="00C7656C">
        <w:rPr>
          <w:rFonts w:ascii="Arial" w:hAnsi="Arial" w:cs="Arial"/>
          <w:sz w:val="28"/>
          <w:szCs w:val="28"/>
        </w:rPr>
        <w:t>(</w:t>
      </w:r>
      <w:proofErr w:type="spellStart"/>
      <w:r>
        <w:rPr>
          <w:rFonts w:ascii="Arial" w:hAnsi="Arial" w:cs="Arial"/>
          <w:sz w:val="28"/>
          <w:szCs w:val="28"/>
          <w:lang w:val="el-GR"/>
        </w:rPr>
        <w:t>Βλ</w:t>
      </w:r>
      <w:proofErr w:type="spellEnd"/>
      <w:r w:rsidRPr="00C7656C">
        <w:rPr>
          <w:rFonts w:ascii="Arial" w:hAnsi="Arial" w:cs="Arial"/>
          <w:sz w:val="28"/>
          <w:szCs w:val="28"/>
        </w:rPr>
        <w:t xml:space="preserve">. </w:t>
      </w:r>
      <w:r>
        <w:rPr>
          <w:rFonts w:ascii="Arial" w:hAnsi="Arial" w:cs="Arial"/>
          <w:sz w:val="28"/>
          <w:szCs w:val="28"/>
          <w:lang w:val="el-GR"/>
        </w:rPr>
        <w:t>επίσης</w:t>
      </w:r>
      <w:r w:rsidRPr="00C7656C">
        <w:rPr>
          <w:rFonts w:ascii="Arial" w:hAnsi="Arial" w:cs="Arial"/>
          <w:sz w:val="28"/>
          <w:szCs w:val="28"/>
        </w:rPr>
        <w:t xml:space="preserve"> </w:t>
      </w:r>
      <w:r w:rsidR="00C7656C">
        <w:rPr>
          <w:rFonts w:ascii="Arial" w:hAnsi="Arial" w:cs="Arial"/>
          <w:b/>
          <w:bCs/>
          <w:i/>
          <w:iCs/>
          <w:sz w:val="28"/>
          <w:szCs w:val="28"/>
        </w:rPr>
        <w:t>Meux</w:t>
      </w:r>
      <w:r w:rsidR="00C7656C" w:rsidRPr="00C7656C">
        <w:rPr>
          <w:rFonts w:ascii="Arial" w:hAnsi="Arial" w:cs="Arial"/>
          <w:b/>
          <w:bCs/>
          <w:i/>
          <w:iCs/>
          <w:sz w:val="28"/>
          <w:szCs w:val="28"/>
        </w:rPr>
        <w:t xml:space="preserve"> </w:t>
      </w:r>
      <w:r w:rsidR="00C7656C">
        <w:rPr>
          <w:rFonts w:ascii="Arial" w:hAnsi="Arial" w:cs="Arial"/>
          <w:b/>
          <w:bCs/>
          <w:i/>
          <w:iCs/>
          <w:sz w:val="28"/>
          <w:szCs w:val="28"/>
        </w:rPr>
        <w:t>v</w:t>
      </w:r>
      <w:r w:rsidR="00C7656C" w:rsidRPr="00C7656C">
        <w:rPr>
          <w:rFonts w:ascii="Arial" w:hAnsi="Arial" w:cs="Arial"/>
          <w:b/>
          <w:bCs/>
          <w:i/>
          <w:iCs/>
          <w:sz w:val="28"/>
          <w:szCs w:val="28"/>
        </w:rPr>
        <w:t xml:space="preserve">. </w:t>
      </w:r>
      <w:r w:rsidR="00C7656C">
        <w:rPr>
          <w:rFonts w:ascii="Arial" w:hAnsi="Arial" w:cs="Arial"/>
          <w:b/>
          <w:bCs/>
          <w:i/>
          <w:iCs/>
          <w:sz w:val="28"/>
          <w:szCs w:val="28"/>
        </w:rPr>
        <w:t>Jacobs [1875]</w:t>
      </w:r>
      <w:r w:rsidR="008934BD">
        <w:rPr>
          <w:rFonts w:ascii="Arial" w:hAnsi="Arial" w:cs="Arial"/>
          <w:b/>
          <w:bCs/>
          <w:i/>
          <w:iCs/>
          <w:sz w:val="28"/>
          <w:szCs w:val="28"/>
        </w:rPr>
        <w:t xml:space="preserve"> </w:t>
      </w:r>
      <w:r w:rsidR="00C7656C">
        <w:rPr>
          <w:rFonts w:ascii="Arial" w:hAnsi="Arial" w:cs="Arial"/>
          <w:b/>
          <w:bCs/>
          <w:i/>
          <w:iCs/>
          <w:sz w:val="28"/>
          <w:szCs w:val="28"/>
        </w:rPr>
        <w:t xml:space="preserve">LR 7 HL 481 at 493, </w:t>
      </w:r>
      <w:r w:rsidR="008934BD">
        <w:rPr>
          <w:rFonts w:ascii="Arial" w:hAnsi="Arial" w:cs="Arial"/>
          <w:b/>
          <w:bCs/>
          <w:i/>
          <w:iCs/>
          <w:sz w:val="28"/>
          <w:szCs w:val="28"/>
        </w:rPr>
        <w:t xml:space="preserve">Jacobs </w:t>
      </w:r>
      <w:r w:rsidR="00C7656C">
        <w:rPr>
          <w:rFonts w:ascii="Arial" w:hAnsi="Arial" w:cs="Arial"/>
          <w:b/>
          <w:bCs/>
          <w:i/>
          <w:iCs/>
          <w:sz w:val="28"/>
          <w:szCs w:val="28"/>
        </w:rPr>
        <w:t>Chaudhuri [1968] 2 All E.R. 124 C.A.; Walker v. Leeds City Council [1976]</w:t>
      </w:r>
      <w:r w:rsidR="008934BD">
        <w:rPr>
          <w:rFonts w:ascii="Arial" w:hAnsi="Arial" w:cs="Arial"/>
          <w:b/>
          <w:bCs/>
          <w:i/>
          <w:iCs/>
          <w:sz w:val="28"/>
          <w:szCs w:val="28"/>
        </w:rPr>
        <w:t xml:space="preserve"> 3 All E.R.  </w:t>
      </w:r>
      <w:r w:rsidR="008934BD" w:rsidRPr="00B6571A">
        <w:rPr>
          <w:rFonts w:ascii="Arial" w:hAnsi="Arial" w:cs="Arial"/>
          <w:b/>
          <w:bCs/>
          <w:i/>
          <w:iCs/>
          <w:sz w:val="28"/>
          <w:szCs w:val="28"/>
          <w:lang w:val="el-GR"/>
        </w:rPr>
        <w:t xml:space="preserve">709 </w:t>
      </w:r>
      <w:r w:rsidR="008934BD">
        <w:rPr>
          <w:rFonts w:ascii="Arial" w:hAnsi="Arial" w:cs="Arial"/>
          <w:b/>
          <w:bCs/>
          <w:i/>
          <w:iCs/>
          <w:sz w:val="28"/>
          <w:szCs w:val="28"/>
        </w:rPr>
        <w:t>HL</w:t>
      </w:r>
      <w:r w:rsidR="008934BD" w:rsidRPr="00B6571A">
        <w:rPr>
          <w:rFonts w:ascii="Arial" w:hAnsi="Arial" w:cs="Arial"/>
          <w:b/>
          <w:bCs/>
          <w:i/>
          <w:iCs/>
          <w:sz w:val="28"/>
          <w:szCs w:val="28"/>
          <w:lang w:val="el-GR"/>
        </w:rPr>
        <w:t>).</w:t>
      </w:r>
    </w:p>
    <w:p w14:paraId="51794232" w14:textId="77777777" w:rsidR="00723D59" w:rsidRPr="00B6571A" w:rsidRDefault="00723D59" w:rsidP="00FD4789">
      <w:pPr>
        <w:spacing w:line="480" w:lineRule="auto"/>
        <w:ind w:right="237"/>
        <w:jc w:val="both"/>
        <w:rPr>
          <w:rFonts w:ascii="Arial" w:hAnsi="Arial" w:cs="Arial"/>
          <w:sz w:val="28"/>
          <w:szCs w:val="28"/>
          <w:lang w:val="el-GR"/>
        </w:rPr>
      </w:pPr>
    </w:p>
    <w:p w14:paraId="49DE5F66" w14:textId="3BAF5C6B" w:rsidR="00F13BE8" w:rsidRDefault="00F13BE8" w:rsidP="00FD4789">
      <w:pPr>
        <w:spacing w:line="480" w:lineRule="auto"/>
        <w:ind w:right="237"/>
        <w:jc w:val="both"/>
        <w:rPr>
          <w:rFonts w:ascii="Arial" w:hAnsi="Arial" w:cs="Arial"/>
          <w:sz w:val="28"/>
          <w:szCs w:val="28"/>
          <w:lang w:val="el-GR"/>
        </w:rPr>
      </w:pPr>
      <w:r>
        <w:rPr>
          <w:rFonts w:ascii="Arial" w:hAnsi="Arial" w:cs="Arial"/>
          <w:sz w:val="28"/>
          <w:szCs w:val="28"/>
          <w:lang w:val="el-GR"/>
        </w:rPr>
        <w:t xml:space="preserve">Στην κρινόμενη περίπτωση οι δύο Νόμοι δεν μπορούν να θεωρηθούν </w:t>
      </w:r>
      <w:r>
        <w:rPr>
          <w:rFonts w:ascii="Arial" w:hAnsi="Arial" w:cs="Arial"/>
          <w:sz w:val="28"/>
          <w:szCs w:val="28"/>
        </w:rPr>
        <w:t>in</w:t>
      </w:r>
      <w:r w:rsidRPr="00F13BE8">
        <w:rPr>
          <w:rFonts w:ascii="Arial" w:hAnsi="Arial" w:cs="Arial"/>
          <w:sz w:val="28"/>
          <w:szCs w:val="28"/>
          <w:lang w:val="el-GR"/>
        </w:rPr>
        <w:t xml:space="preserve"> </w:t>
      </w:r>
      <w:proofErr w:type="spellStart"/>
      <w:r>
        <w:rPr>
          <w:rFonts w:ascii="Arial" w:hAnsi="Arial" w:cs="Arial"/>
          <w:sz w:val="28"/>
          <w:szCs w:val="28"/>
        </w:rPr>
        <w:t>pari</w:t>
      </w:r>
      <w:proofErr w:type="spellEnd"/>
      <w:r w:rsidRPr="00F13BE8">
        <w:rPr>
          <w:rFonts w:ascii="Arial" w:hAnsi="Arial" w:cs="Arial"/>
          <w:sz w:val="28"/>
          <w:szCs w:val="28"/>
          <w:lang w:val="el-GR"/>
        </w:rPr>
        <w:t xml:space="preserve"> </w:t>
      </w:r>
      <w:proofErr w:type="spellStart"/>
      <w:r>
        <w:rPr>
          <w:rFonts w:ascii="Arial" w:hAnsi="Arial" w:cs="Arial"/>
          <w:sz w:val="28"/>
          <w:szCs w:val="28"/>
        </w:rPr>
        <w:t>materia</w:t>
      </w:r>
      <w:proofErr w:type="spellEnd"/>
      <w:r w:rsidRPr="00F13BE8">
        <w:rPr>
          <w:rFonts w:ascii="Arial" w:hAnsi="Arial" w:cs="Arial"/>
          <w:sz w:val="28"/>
          <w:szCs w:val="28"/>
          <w:lang w:val="el-GR"/>
        </w:rPr>
        <w:t xml:space="preserve"> </w:t>
      </w:r>
      <w:r>
        <w:rPr>
          <w:rFonts w:ascii="Arial" w:hAnsi="Arial" w:cs="Arial"/>
          <w:sz w:val="28"/>
          <w:szCs w:val="28"/>
          <w:lang w:val="el-GR"/>
        </w:rPr>
        <w:t>καθότι</w:t>
      </w:r>
      <w:r w:rsidR="00C91C9A" w:rsidRPr="00C91C9A">
        <w:rPr>
          <w:rFonts w:ascii="Arial" w:hAnsi="Arial" w:cs="Arial"/>
          <w:sz w:val="28"/>
          <w:szCs w:val="28"/>
          <w:lang w:val="el-GR"/>
        </w:rPr>
        <w:t xml:space="preserve"> </w:t>
      </w:r>
      <w:r w:rsidR="00C91C9A">
        <w:rPr>
          <w:rFonts w:ascii="Arial" w:hAnsi="Arial" w:cs="Arial"/>
          <w:sz w:val="28"/>
          <w:szCs w:val="28"/>
          <w:lang w:val="el-GR"/>
        </w:rPr>
        <w:t xml:space="preserve">δεν εντάσσονται στο ίδιο σύστημα και </w:t>
      </w:r>
      <w:r>
        <w:rPr>
          <w:rFonts w:ascii="Arial" w:hAnsi="Arial" w:cs="Arial"/>
          <w:sz w:val="28"/>
          <w:szCs w:val="28"/>
          <w:lang w:val="el-GR"/>
        </w:rPr>
        <w:t xml:space="preserve">ρυθμίζουν εντελώς διαφορετικά θέματα, ως προκύπτει και από τον ίδιο τον τίτλο των δύο Νόμων.  Συνεπώς θεωρούμε πως η ερμηνευτική χρήση ενός άλλου Νόμου, ο οποίος έχει άλλο νομικό προσδιορισμό, ως εξηγήσαμε, δεν ήταν πρόσφορη και θεμιτή λύση.  Εν τελευταία όμως αναλύσει εκείνο που έχει σημασία είναι πως το πρωτόδικο Δικαστήριο όφειλε να διερευνήσει αν η ερμηνεία που δόθηκε από το αρμόδιο όργανο ομού με τη σχετική αιτιολόγηση ήταν εύλογα επιτρεπτή.  </w:t>
      </w:r>
    </w:p>
    <w:p w14:paraId="1A792520" w14:textId="77777777" w:rsidR="00F13BE8" w:rsidRDefault="00F13BE8" w:rsidP="00FD4789">
      <w:pPr>
        <w:spacing w:line="480" w:lineRule="auto"/>
        <w:ind w:right="237"/>
        <w:jc w:val="both"/>
        <w:rPr>
          <w:rFonts w:ascii="Arial" w:hAnsi="Arial" w:cs="Arial"/>
          <w:sz w:val="28"/>
          <w:szCs w:val="28"/>
          <w:lang w:val="el-GR"/>
        </w:rPr>
      </w:pPr>
    </w:p>
    <w:p w14:paraId="623B52FF" w14:textId="65F91C5F" w:rsidR="00F13BE8" w:rsidRDefault="00F13BE8" w:rsidP="00FD4789">
      <w:pPr>
        <w:spacing w:line="480" w:lineRule="auto"/>
        <w:ind w:right="237"/>
        <w:jc w:val="both"/>
        <w:rPr>
          <w:rFonts w:ascii="Arial" w:hAnsi="Arial" w:cs="Arial"/>
          <w:b/>
          <w:bCs/>
          <w:i/>
          <w:iCs/>
          <w:sz w:val="28"/>
          <w:szCs w:val="28"/>
          <w:lang w:val="el-GR"/>
        </w:rPr>
      </w:pPr>
      <w:r>
        <w:rPr>
          <w:rFonts w:ascii="Arial" w:hAnsi="Arial" w:cs="Arial"/>
          <w:sz w:val="28"/>
          <w:szCs w:val="28"/>
          <w:lang w:val="el-GR"/>
        </w:rPr>
        <w:t xml:space="preserve">Όπως είναι εδραιωμένο, ο δικαστικός έλεγχος διοικητικών πράξεων περιορίζεται στον έλεγχο νομιμότητας, το δε Δικαστήριο δεν επεμβαίνει στην κρίση του αρμοδίου οργάνου όταν η προσβαλλόμενη απόφαση ήταν εύλογα επιτρεπτή, ούτε στην ουσιαστική κρίση της διοίκησης, εκτός εάν φανεί ότι υπήρξε πλάνη περί τα πράγματα ή το Νόμο ή υπέρβαση εξουσίας.  (Βλ. </w:t>
      </w:r>
      <w:r>
        <w:rPr>
          <w:rFonts w:ascii="Arial" w:hAnsi="Arial" w:cs="Arial"/>
          <w:b/>
          <w:bCs/>
          <w:i/>
          <w:iCs/>
          <w:sz w:val="28"/>
          <w:szCs w:val="28"/>
          <w:lang w:val="el-GR"/>
        </w:rPr>
        <w:t xml:space="preserve">Γεωργιάδης ν. Δημοκρατίας </w:t>
      </w:r>
      <w:r w:rsidR="00C91C9A">
        <w:rPr>
          <w:rFonts w:ascii="Arial" w:hAnsi="Arial" w:cs="Arial"/>
          <w:b/>
          <w:bCs/>
          <w:i/>
          <w:iCs/>
          <w:sz w:val="28"/>
          <w:szCs w:val="28"/>
          <w:lang w:val="el-GR"/>
        </w:rPr>
        <w:t xml:space="preserve">(2000)3 Α.Α.Δ. 106 </w:t>
      </w:r>
      <w:r>
        <w:rPr>
          <w:rFonts w:ascii="Arial" w:hAnsi="Arial" w:cs="Arial"/>
          <w:sz w:val="28"/>
          <w:szCs w:val="28"/>
          <w:lang w:val="el-GR"/>
        </w:rPr>
        <w:t xml:space="preserve">και ειδικά για τη νομική πλάνη ως προς την ερμηνεία Νόμου βλ. </w:t>
      </w:r>
      <w:proofErr w:type="spellStart"/>
      <w:r>
        <w:rPr>
          <w:rFonts w:ascii="Arial" w:hAnsi="Arial" w:cs="Arial"/>
          <w:b/>
          <w:bCs/>
          <w:i/>
          <w:iCs/>
          <w:sz w:val="28"/>
          <w:szCs w:val="28"/>
          <w:lang w:val="el-GR"/>
        </w:rPr>
        <w:t>Καρλεττίδου</w:t>
      </w:r>
      <w:proofErr w:type="spellEnd"/>
      <w:r>
        <w:rPr>
          <w:rFonts w:ascii="Arial" w:hAnsi="Arial" w:cs="Arial"/>
          <w:b/>
          <w:bCs/>
          <w:i/>
          <w:iCs/>
          <w:sz w:val="28"/>
          <w:szCs w:val="28"/>
          <w:lang w:val="el-GR"/>
        </w:rPr>
        <w:t xml:space="preserve"> ν. Δημοκρατίας</w:t>
      </w:r>
      <w:r w:rsidR="00C91C9A">
        <w:rPr>
          <w:rFonts w:ascii="Arial" w:hAnsi="Arial" w:cs="Arial"/>
          <w:b/>
          <w:bCs/>
          <w:i/>
          <w:iCs/>
          <w:sz w:val="28"/>
          <w:szCs w:val="28"/>
          <w:lang w:val="el-GR"/>
        </w:rPr>
        <w:t xml:space="preserve"> (2000) 3 Α.Α.Δ. 530</w:t>
      </w:r>
      <w:r>
        <w:rPr>
          <w:rFonts w:ascii="Arial" w:hAnsi="Arial" w:cs="Arial"/>
          <w:b/>
          <w:bCs/>
          <w:i/>
          <w:iCs/>
          <w:sz w:val="28"/>
          <w:szCs w:val="28"/>
          <w:lang w:val="el-GR"/>
        </w:rPr>
        <w:t>).</w:t>
      </w:r>
    </w:p>
    <w:p w14:paraId="37A424BB" w14:textId="77777777" w:rsidR="00F13BE8" w:rsidRDefault="00F13BE8" w:rsidP="00FD4789">
      <w:pPr>
        <w:spacing w:line="480" w:lineRule="auto"/>
        <w:ind w:right="237"/>
        <w:jc w:val="both"/>
        <w:rPr>
          <w:rFonts w:ascii="Arial" w:hAnsi="Arial" w:cs="Arial"/>
          <w:b/>
          <w:bCs/>
          <w:i/>
          <w:iCs/>
          <w:sz w:val="28"/>
          <w:szCs w:val="28"/>
          <w:lang w:val="el-GR"/>
        </w:rPr>
      </w:pPr>
    </w:p>
    <w:p w14:paraId="45A5B830" w14:textId="0CE39150" w:rsidR="00F13BE8" w:rsidRDefault="00F13BE8" w:rsidP="00FD4789">
      <w:pPr>
        <w:spacing w:line="480" w:lineRule="auto"/>
        <w:ind w:right="237"/>
        <w:jc w:val="both"/>
        <w:rPr>
          <w:rFonts w:ascii="Arial" w:hAnsi="Arial" w:cs="Arial"/>
          <w:sz w:val="28"/>
          <w:szCs w:val="28"/>
          <w:lang w:val="el-GR"/>
        </w:rPr>
      </w:pPr>
      <w:r>
        <w:rPr>
          <w:rFonts w:ascii="Arial" w:hAnsi="Arial" w:cs="Arial"/>
          <w:sz w:val="28"/>
          <w:szCs w:val="28"/>
          <w:lang w:val="el-GR"/>
        </w:rPr>
        <w:t>Εν προκειμένω, η άδεια διαχωρισμού και δια</w:t>
      </w:r>
      <w:r w:rsidR="00723D59">
        <w:rPr>
          <w:rFonts w:ascii="Arial" w:hAnsi="Arial" w:cs="Arial"/>
          <w:sz w:val="28"/>
          <w:szCs w:val="28"/>
          <w:lang w:val="el-GR"/>
        </w:rPr>
        <w:t>ίρεσης γης</w:t>
      </w:r>
      <w:r>
        <w:rPr>
          <w:rFonts w:ascii="Arial" w:hAnsi="Arial" w:cs="Arial"/>
          <w:sz w:val="28"/>
          <w:szCs w:val="28"/>
          <w:lang w:val="el-GR"/>
        </w:rPr>
        <w:t xml:space="preserve"> ήταν φυσικά ένα βήμα προς την οικοπεδοποίηση πλην όμως αρκετά  </w:t>
      </w:r>
      <w:r w:rsidR="00156395">
        <w:rPr>
          <w:rFonts w:ascii="Arial" w:hAnsi="Arial" w:cs="Arial"/>
          <w:sz w:val="28"/>
          <w:szCs w:val="28"/>
          <w:lang w:val="el-GR"/>
        </w:rPr>
        <w:t>απομακ</w:t>
      </w:r>
      <w:r w:rsidR="008A7780">
        <w:rPr>
          <w:rFonts w:ascii="Arial" w:hAnsi="Arial" w:cs="Arial"/>
          <w:sz w:val="28"/>
          <w:szCs w:val="28"/>
          <w:lang w:val="el-GR"/>
        </w:rPr>
        <w:t>ρ</w:t>
      </w:r>
      <w:r w:rsidR="00156395">
        <w:rPr>
          <w:rFonts w:ascii="Arial" w:hAnsi="Arial" w:cs="Arial"/>
          <w:sz w:val="28"/>
          <w:szCs w:val="28"/>
          <w:lang w:val="el-GR"/>
        </w:rPr>
        <w:t xml:space="preserve">υσμένο αφού εύκολα μπορούσε να μην υλοποιηθεί </w:t>
      </w:r>
      <w:proofErr w:type="spellStart"/>
      <w:r w:rsidR="00156395">
        <w:rPr>
          <w:rFonts w:ascii="Arial" w:hAnsi="Arial" w:cs="Arial"/>
          <w:sz w:val="28"/>
          <w:szCs w:val="28"/>
          <w:lang w:val="el-GR"/>
        </w:rPr>
        <w:t>σ΄αυτό</w:t>
      </w:r>
      <w:proofErr w:type="spellEnd"/>
      <w:r w:rsidR="00156395">
        <w:rPr>
          <w:rFonts w:ascii="Arial" w:hAnsi="Arial" w:cs="Arial"/>
          <w:sz w:val="28"/>
          <w:szCs w:val="28"/>
          <w:lang w:val="el-GR"/>
        </w:rPr>
        <w:t xml:space="preserve"> το στάδιο η πραγμάτωση του σκοπού μετατροπής του ακινήτου σε οικόπεδο.  Σίγουρα δε</w:t>
      </w:r>
      <w:r w:rsidR="00723D59">
        <w:rPr>
          <w:rFonts w:ascii="Arial" w:hAnsi="Arial" w:cs="Arial"/>
          <w:sz w:val="28"/>
          <w:szCs w:val="28"/>
          <w:lang w:val="el-GR"/>
        </w:rPr>
        <w:t>,</w:t>
      </w:r>
      <w:r w:rsidR="00156395">
        <w:rPr>
          <w:rFonts w:ascii="Arial" w:hAnsi="Arial" w:cs="Arial"/>
          <w:sz w:val="28"/>
          <w:szCs w:val="28"/>
          <w:lang w:val="el-GR"/>
        </w:rPr>
        <w:t xml:space="preserve"> το χωράφι δεν εξισώνεται με οικόπεδο, έννοια που ο Νόμος θέλησε να χρησιμοποιήσει.</w:t>
      </w:r>
    </w:p>
    <w:p w14:paraId="449266B8" w14:textId="77777777" w:rsidR="00156395" w:rsidRDefault="00156395" w:rsidP="00FD4789">
      <w:pPr>
        <w:spacing w:line="480" w:lineRule="auto"/>
        <w:ind w:right="237"/>
        <w:jc w:val="both"/>
        <w:rPr>
          <w:rFonts w:ascii="Arial" w:hAnsi="Arial" w:cs="Arial"/>
          <w:sz w:val="28"/>
          <w:szCs w:val="28"/>
          <w:lang w:val="el-GR"/>
        </w:rPr>
      </w:pPr>
    </w:p>
    <w:p w14:paraId="7F7D38FA" w14:textId="5104D37E" w:rsidR="00156395" w:rsidRPr="00B6571A" w:rsidRDefault="00156395" w:rsidP="00FD4789">
      <w:pPr>
        <w:spacing w:line="480" w:lineRule="auto"/>
        <w:ind w:right="237"/>
        <w:jc w:val="both"/>
        <w:rPr>
          <w:rFonts w:ascii="Arial" w:hAnsi="Arial" w:cs="Arial"/>
          <w:sz w:val="28"/>
          <w:szCs w:val="28"/>
          <w:lang w:val="el-GR"/>
        </w:rPr>
      </w:pPr>
      <w:r>
        <w:rPr>
          <w:rFonts w:ascii="Arial" w:hAnsi="Arial" w:cs="Arial"/>
          <w:sz w:val="28"/>
          <w:szCs w:val="28"/>
          <w:lang w:val="el-GR"/>
        </w:rPr>
        <w:t>Το αρμόδιο όργανο στα πλαίσια της λειτουργίας του έδωσε εξήγηση γιατί δεν θεωρούσε το ακίνητο</w:t>
      </w:r>
      <w:r w:rsidR="006C0A59">
        <w:rPr>
          <w:rFonts w:ascii="Arial" w:hAnsi="Arial" w:cs="Arial"/>
          <w:sz w:val="28"/>
          <w:szCs w:val="28"/>
          <w:lang w:val="el-GR"/>
        </w:rPr>
        <w:t xml:space="preserve">, </w:t>
      </w:r>
      <w:r>
        <w:rPr>
          <w:rFonts w:ascii="Arial" w:hAnsi="Arial" w:cs="Arial"/>
          <w:sz w:val="28"/>
          <w:szCs w:val="28"/>
          <w:lang w:val="el-GR"/>
        </w:rPr>
        <w:t xml:space="preserve">οικόπεδο.  Δεν βρίσκουμε λόγο παρέμβασης μας στην ερμηνεία και αιτιολογία που δόθηκε.  Η δε φράση «ανεξάρτητα από τη νομική κατάσταση» του ακινήτου δεν ακύρωνε την έννοια του οικοπέδου που έπρεπε πρώτα και πρωταρχικά να καθορίσει </w:t>
      </w:r>
      <w:r>
        <w:rPr>
          <w:rFonts w:ascii="Arial" w:hAnsi="Arial" w:cs="Arial"/>
          <w:sz w:val="28"/>
          <w:szCs w:val="28"/>
          <w:lang w:val="el-GR"/>
        </w:rPr>
        <w:lastRenderedPageBreak/>
        <w:t>το αρμόδιο όργανο.</w:t>
      </w:r>
      <w:r w:rsidR="00723D59">
        <w:rPr>
          <w:rFonts w:ascii="Arial" w:hAnsi="Arial" w:cs="Arial"/>
          <w:sz w:val="28"/>
          <w:szCs w:val="28"/>
          <w:lang w:val="el-GR"/>
        </w:rPr>
        <w:t xml:space="preserve">  Ο νομοθέτης χρησιμοποίησε τη λέξη «οικόπεδο» και όχι εν γένει «ακίνητο» ή «χωράφι».  Φυσικά δε οι μεταγενέστερες τροποποιήσεις του Νόμου, δεν θα μπορούσαν, άνευ ετέρου, να λειτουργήσουν υπέρ της επιθυμητής για τους </w:t>
      </w:r>
      <w:proofErr w:type="spellStart"/>
      <w:r w:rsidR="00723D59">
        <w:rPr>
          <w:rFonts w:ascii="Arial" w:hAnsi="Arial" w:cs="Arial"/>
          <w:sz w:val="28"/>
          <w:szCs w:val="28"/>
          <w:lang w:val="el-GR"/>
        </w:rPr>
        <w:t>Εφεσείοντες</w:t>
      </w:r>
      <w:proofErr w:type="spellEnd"/>
      <w:r w:rsidR="00B6571A">
        <w:rPr>
          <w:rFonts w:ascii="Arial" w:hAnsi="Arial" w:cs="Arial"/>
          <w:sz w:val="28"/>
          <w:szCs w:val="28"/>
          <w:lang w:val="el-GR"/>
        </w:rPr>
        <w:t>,</w:t>
      </w:r>
      <w:r w:rsidR="00723D59">
        <w:rPr>
          <w:rFonts w:ascii="Arial" w:hAnsi="Arial" w:cs="Arial"/>
          <w:sz w:val="28"/>
          <w:szCs w:val="28"/>
          <w:lang w:val="el-GR"/>
        </w:rPr>
        <w:t xml:space="preserve"> ερμηνεία</w:t>
      </w:r>
      <w:r w:rsidR="00B6571A">
        <w:rPr>
          <w:rFonts w:ascii="Arial" w:hAnsi="Arial" w:cs="Arial"/>
          <w:sz w:val="28"/>
          <w:szCs w:val="28"/>
          <w:lang w:val="el-GR"/>
        </w:rPr>
        <w:t>ς</w:t>
      </w:r>
      <w:r w:rsidR="00723D59">
        <w:rPr>
          <w:rFonts w:ascii="Arial" w:hAnsi="Arial" w:cs="Arial"/>
          <w:sz w:val="28"/>
          <w:szCs w:val="28"/>
          <w:lang w:val="el-GR"/>
        </w:rPr>
        <w:t xml:space="preserve"> της διάταξης, ως ίσχυε κατά τον ουσιώδη χρόνο  (</w:t>
      </w:r>
      <w:r w:rsidR="00B6571A">
        <w:rPr>
          <w:rFonts w:ascii="Arial" w:hAnsi="Arial" w:cs="Arial"/>
          <w:sz w:val="28"/>
          <w:szCs w:val="28"/>
          <w:lang w:val="el-GR"/>
        </w:rPr>
        <w:t>β</w:t>
      </w:r>
      <w:r w:rsidR="00723D59">
        <w:rPr>
          <w:rFonts w:ascii="Arial" w:hAnsi="Arial" w:cs="Arial"/>
          <w:sz w:val="28"/>
          <w:szCs w:val="28"/>
          <w:lang w:val="el-GR"/>
        </w:rPr>
        <w:t xml:space="preserve">λ. και πάλι </w:t>
      </w:r>
      <w:r w:rsidR="00723D59" w:rsidRPr="00C7656C">
        <w:rPr>
          <w:rFonts w:ascii="Arial" w:hAnsi="Arial" w:cs="Arial"/>
          <w:b/>
          <w:bCs/>
          <w:i/>
          <w:iCs/>
          <w:sz w:val="28"/>
          <w:szCs w:val="28"/>
        </w:rPr>
        <w:t>Halsbury</w:t>
      </w:r>
      <w:r w:rsidR="00723D59" w:rsidRPr="00B6571A">
        <w:rPr>
          <w:rFonts w:ascii="Arial" w:hAnsi="Arial" w:cs="Arial"/>
          <w:b/>
          <w:bCs/>
          <w:i/>
          <w:iCs/>
          <w:sz w:val="28"/>
          <w:szCs w:val="28"/>
          <w:lang w:val="el-GR"/>
        </w:rPr>
        <w:t>’</w:t>
      </w:r>
      <w:r w:rsidR="00723D59" w:rsidRPr="00C7656C">
        <w:rPr>
          <w:rFonts w:ascii="Arial" w:hAnsi="Arial" w:cs="Arial"/>
          <w:b/>
          <w:bCs/>
          <w:i/>
          <w:iCs/>
          <w:sz w:val="28"/>
          <w:szCs w:val="28"/>
        </w:rPr>
        <w:t>s</w:t>
      </w:r>
      <w:r w:rsidR="00723D59" w:rsidRPr="00B6571A">
        <w:rPr>
          <w:rFonts w:ascii="Arial" w:hAnsi="Arial" w:cs="Arial"/>
          <w:b/>
          <w:bCs/>
          <w:i/>
          <w:iCs/>
          <w:sz w:val="28"/>
          <w:szCs w:val="28"/>
          <w:lang w:val="el-GR"/>
        </w:rPr>
        <w:t xml:space="preserve"> </w:t>
      </w:r>
      <w:r w:rsidR="00723D59" w:rsidRPr="00C7656C">
        <w:rPr>
          <w:rFonts w:ascii="Arial" w:hAnsi="Arial" w:cs="Arial"/>
          <w:b/>
          <w:bCs/>
          <w:i/>
          <w:iCs/>
          <w:sz w:val="28"/>
          <w:szCs w:val="28"/>
        </w:rPr>
        <w:t>Laws</w:t>
      </w:r>
      <w:r w:rsidR="00723D59" w:rsidRPr="00B6571A">
        <w:rPr>
          <w:rFonts w:ascii="Arial" w:hAnsi="Arial" w:cs="Arial"/>
          <w:b/>
          <w:bCs/>
          <w:i/>
          <w:iCs/>
          <w:sz w:val="28"/>
          <w:szCs w:val="28"/>
          <w:lang w:val="el-GR"/>
        </w:rPr>
        <w:t xml:space="preserve"> </w:t>
      </w:r>
      <w:r w:rsidR="00723D59" w:rsidRPr="00C7656C">
        <w:rPr>
          <w:rFonts w:ascii="Arial" w:hAnsi="Arial" w:cs="Arial"/>
          <w:b/>
          <w:bCs/>
          <w:i/>
          <w:iCs/>
          <w:sz w:val="28"/>
          <w:szCs w:val="28"/>
        </w:rPr>
        <w:t>of</w:t>
      </w:r>
      <w:r w:rsidR="00723D59" w:rsidRPr="00B6571A">
        <w:rPr>
          <w:rFonts w:ascii="Arial" w:hAnsi="Arial" w:cs="Arial"/>
          <w:b/>
          <w:bCs/>
          <w:i/>
          <w:iCs/>
          <w:sz w:val="28"/>
          <w:szCs w:val="28"/>
          <w:lang w:val="el-GR"/>
        </w:rPr>
        <w:t xml:space="preserve"> </w:t>
      </w:r>
      <w:r w:rsidR="00723D59" w:rsidRPr="00C7656C">
        <w:rPr>
          <w:rFonts w:ascii="Arial" w:hAnsi="Arial" w:cs="Arial"/>
          <w:b/>
          <w:bCs/>
          <w:i/>
          <w:iCs/>
          <w:sz w:val="28"/>
          <w:szCs w:val="28"/>
        </w:rPr>
        <w:t>England</w:t>
      </w:r>
      <w:r w:rsidR="00B6571A">
        <w:rPr>
          <w:rFonts w:ascii="Arial" w:hAnsi="Arial" w:cs="Arial"/>
          <w:b/>
          <w:bCs/>
          <w:i/>
          <w:iCs/>
          <w:sz w:val="28"/>
          <w:szCs w:val="28"/>
          <w:lang w:val="el-GR"/>
        </w:rPr>
        <w:t>,</w:t>
      </w:r>
      <w:r w:rsidR="00723D59" w:rsidRPr="00B6571A">
        <w:rPr>
          <w:rFonts w:ascii="Arial" w:hAnsi="Arial" w:cs="Arial"/>
          <w:b/>
          <w:bCs/>
          <w:i/>
          <w:iCs/>
          <w:sz w:val="28"/>
          <w:szCs w:val="28"/>
          <w:lang w:val="el-GR"/>
        </w:rPr>
        <w:t xml:space="preserve"> </w:t>
      </w:r>
      <w:r w:rsidR="00C7656C">
        <w:rPr>
          <w:rFonts w:ascii="Arial" w:hAnsi="Arial" w:cs="Arial"/>
          <w:b/>
          <w:bCs/>
          <w:i/>
          <w:iCs/>
          <w:sz w:val="28"/>
          <w:szCs w:val="28"/>
          <w:lang w:val="el-GR"/>
        </w:rPr>
        <w:t>σελ.</w:t>
      </w:r>
      <w:r w:rsidR="00723D59" w:rsidRPr="00B6571A">
        <w:rPr>
          <w:rFonts w:ascii="Arial" w:hAnsi="Arial" w:cs="Arial"/>
          <w:b/>
          <w:bCs/>
          <w:i/>
          <w:iCs/>
          <w:sz w:val="28"/>
          <w:szCs w:val="28"/>
          <w:lang w:val="el-GR"/>
        </w:rPr>
        <w:t xml:space="preserve">404, </w:t>
      </w:r>
      <w:r w:rsidR="00C7656C">
        <w:rPr>
          <w:rFonts w:ascii="Arial" w:hAnsi="Arial" w:cs="Arial"/>
          <w:b/>
          <w:bCs/>
          <w:i/>
          <w:iCs/>
          <w:sz w:val="28"/>
          <w:szCs w:val="28"/>
          <w:lang w:val="el-GR"/>
        </w:rPr>
        <w:t>παρ.</w:t>
      </w:r>
      <w:r w:rsidR="00723D59" w:rsidRPr="00B6571A">
        <w:rPr>
          <w:rFonts w:ascii="Arial" w:hAnsi="Arial" w:cs="Arial"/>
          <w:b/>
          <w:bCs/>
          <w:i/>
          <w:iCs/>
          <w:sz w:val="28"/>
          <w:szCs w:val="28"/>
          <w:lang w:val="el-GR"/>
        </w:rPr>
        <w:t xml:space="preserve"> 610</w:t>
      </w:r>
      <w:r w:rsidR="00723D59" w:rsidRPr="00B6571A">
        <w:rPr>
          <w:rFonts w:ascii="Arial" w:hAnsi="Arial" w:cs="Arial"/>
          <w:sz w:val="28"/>
          <w:szCs w:val="28"/>
          <w:lang w:val="el-GR"/>
        </w:rPr>
        <w:t>).</w:t>
      </w:r>
    </w:p>
    <w:p w14:paraId="07129FA1" w14:textId="77777777" w:rsidR="00156395" w:rsidRDefault="00156395" w:rsidP="00FD4789">
      <w:pPr>
        <w:spacing w:line="480" w:lineRule="auto"/>
        <w:ind w:right="237"/>
        <w:jc w:val="both"/>
        <w:rPr>
          <w:rFonts w:ascii="Arial" w:hAnsi="Arial" w:cs="Arial"/>
          <w:sz w:val="28"/>
          <w:szCs w:val="28"/>
          <w:lang w:val="el-GR"/>
        </w:rPr>
      </w:pPr>
    </w:p>
    <w:p w14:paraId="5C98B6E5" w14:textId="024771F3" w:rsidR="00156395" w:rsidRDefault="00156395" w:rsidP="00FD4789">
      <w:pPr>
        <w:spacing w:line="480" w:lineRule="auto"/>
        <w:ind w:right="237"/>
        <w:jc w:val="both"/>
        <w:rPr>
          <w:rFonts w:ascii="Arial" w:hAnsi="Arial" w:cs="Arial"/>
          <w:sz w:val="28"/>
          <w:szCs w:val="28"/>
          <w:lang w:val="el-GR"/>
        </w:rPr>
      </w:pPr>
      <w:r>
        <w:rPr>
          <w:rFonts w:ascii="Arial" w:hAnsi="Arial" w:cs="Arial"/>
          <w:sz w:val="28"/>
          <w:szCs w:val="28"/>
          <w:lang w:val="el-GR"/>
        </w:rPr>
        <w:t xml:space="preserve">Συνεπώς, καταλήγουμε πως το πρωτόδικο </w:t>
      </w:r>
      <w:r w:rsidR="008A7780">
        <w:rPr>
          <w:rFonts w:ascii="Arial" w:hAnsi="Arial" w:cs="Arial"/>
          <w:sz w:val="28"/>
          <w:szCs w:val="28"/>
          <w:lang w:val="el-GR"/>
        </w:rPr>
        <w:t>Δ</w:t>
      </w:r>
      <w:r>
        <w:rPr>
          <w:rFonts w:ascii="Arial" w:hAnsi="Arial" w:cs="Arial"/>
          <w:sz w:val="28"/>
          <w:szCs w:val="28"/>
          <w:lang w:val="el-GR"/>
        </w:rPr>
        <w:t xml:space="preserve">ικαστήριο </w:t>
      </w:r>
      <w:r w:rsidR="008A7780">
        <w:rPr>
          <w:rFonts w:ascii="Arial" w:hAnsi="Arial" w:cs="Arial"/>
          <w:sz w:val="28"/>
          <w:szCs w:val="28"/>
          <w:lang w:val="el-GR"/>
        </w:rPr>
        <w:t xml:space="preserve">τελικά </w:t>
      </w:r>
      <w:r>
        <w:rPr>
          <w:rFonts w:ascii="Arial" w:hAnsi="Arial" w:cs="Arial"/>
          <w:sz w:val="28"/>
          <w:szCs w:val="28"/>
          <w:lang w:val="el-GR"/>
        </w:rPr>
        <w:t>δεν έσφαλε στην επικύρωση της αιτιολογίας και στην επικύρωση της πράξης του αρμοδίου οργάνου.  Οι λόγοι έφεσης αποτυγχάνουν.</w:t>
      </w:r>
    </w:p>
    <w:p w14:paraId="08BD660D" w14:textId="77777777" w:rsidR="00156395" w:rsidRDefault="00156395" w:rsidP="00FD4789">
      <w:pPr>
        <w:spacing w:line="480" w:lineRule="auto"/>
        <w:ind w:right="237"/>
        <w:jc w:val="both"/>
        <w:rPr>
          <w:rFonts w:ascii="Arial" w:hAnsi="Arial" w:cs="Arial"/>
          <w:sz w:val="28"/>
          <w:szCs w:val="28"/>
          <w:lang w:val="el-GR"/>
        </w:rPr>
      </w:pPr>
    </w:p>
    <w:p w14:paraId="67CB91A9" w14:textId="3D4F2783" w:rsidR="00156395" w:rsidRPr="00F13BE8" w:rsidRDefault="00156395" w:rsidP="00FD4789">
      <w:pPr>
        <w:spacing w:line="480" w:lineRule="auto"/>
        <w:ind w:right="237"/>
        <w:jc w:val="both"/>
        <w:rPr>
          <w:rFonts w:ascii="Arial" w:hAnsi="Arial" w:cs="Arial"/>
          <w:sz w:val="28"/>
          <w:szCs w:val="28"/>
          <w:lang w:val="el-GR"/>
        </w:rPr>
      </w:pPr>
      <w:r>
        <w:rPr>
          <w:rFonts w:ascii="Arial" w:hAnsi="Arial" w:cs="Arial"/>
          <w:sz w:val="28"/>
          <w:szCs w:val="28"/>
          <w:lang w:val="el-GR"/>
        </w:rPr>
        <w:t>Η έφεση απορρίπτεται με έξοδα €2,500 υπέρ τ</w:t>
      </w:r>
      <w:r w:rsidR="00846A32">
        <w:rPr>
          <w:rFonts w:ascii="Arial" w:hAnsi="Arial" w:cs="Arial"/>
          <w:sz w:val="28"/>
          <w:szCs w:val="28"/>
          <w:lang w:val="el-GR"/>
        </w:rPr>
        <w:t>ης</w:t>
      </w:r>
      <w:r>
        <w:rPr>
          <w:rFonts w:ascii="Arial" w:hAnsi="Arial" w:cs="Arial"/>
          <w:sz w:val="28"/>
          <w:szCs w:val="28"/>
          <w:lang w:val="el-GR"/>
        </w:rPr>
        <w:t xml:space="preserve"> Εφε</w:t>
      </w:r>
      <w:r w:rsidR="00846A32">
        <w:rPr>
          <w:rFonts w:ascii="Arial" w:hAnsi="Arial" w:cs="Arial"/>
          <w:sz w:val="28"/>
          <w:szCs w:val="28"/>
          <w:lang w:val="el-GR"/>
        </w:rPr>
        <w:t>σίβλητης</w:t>
      </w:r>
      <w:r>
        <w:rPr>
          <w:rFonts w:ascii="Arial" w:hAnsi="Arial" w:cs="Arial"/>
          <w:sz w:val="28"/>
          <w:szCs w:val="28"/>
          <w:lang w:val="el-GR"/>
        </w:rPr>
        <w:t>.</w:t>
      </w:r>
    </w:p>
    <w:p w14:paraId="70407FF0" w14:textId="77777777" w:rsidR="00F13BE8" w:rsidRDefault="00F13BE8" w:rsidP="00FD4789">
      <w:pPr>
        <w:spacing w:line="480" w:lineRule="auto"/>
        <w:ind w:right="237"/>
        <w:jc w:val="both"/>
        <w:rPr>
          <w:rFonts w:ascii="Arial" w:hAnsi="Arial" w:cs="Arial"/>
          <w:sz w:val="28"/>
          <w:szCs w:val="28"/>
          <w:lang w:val="el-GR"/>
        </w:rPr>
      </w:pPr>
    </w:p>
    <w:p w14:paraId="589E02C5" w14:textId="4892C23B" w:rsidR="00156395" w:rsidRDefault="00156395" w:rsidP="00FD4789">
      <w:pPr>
        <w:spacing w:line="480" w:lineRule="auto"/>
        <w:ind w:right="237"/>
        <w:jc w:val="both"/>
        <w:rPr>
          <w:rFonts w:ascii="Arial" w:hAnsi="Arial" w:cs="Arial"/>
          <w:sz w:val="28"/>
          <w:szCs w:val="28"/>
          <w:lang w:val="el-GR"/>
        </w:rPr>
      </w:pPr>
      <w:r>
        <w:rPr>
          <w:rFonts w:ascii="Arial" w:hAnsi="Arial" w:cs="Arial"/>
          <w:sz w:val="28"/>
          <w:szCs w:val="28"/>
          <w:lang w:val="el-GR"/>
        </w:rPr>
        <w:tab/>
      </w:r>
      <w:r>
        <w:rPr>
          <w:rFonts w:ascii="Arial" w:hAnsi="Arial" w:cs="Arial"/>
          <w:sz w:val="28"/>
          <w:szCs w:val="28"/>
          <w:lang w:val="el-GR"/>
        </w:rPr>
        <w:tab/>
      </w:r>
      <w:r>
        <w:rPr>
          <w:rFonts w:ascii="Arial" w:hAnsi="Arial" w:cs="Arial"/>
          <w:sz w:val="28"/>
          <w:szCs w:val="28"/>
          <w:lang w:val="el-GR"/>
        </w:rPr>
        <w:tab/>
      </w:r>
      <w:r>
        <w:rPr>
          <w:rFonts w:ascii="Arial" w:hAnsi="Arial" w:cs="Arial"/>
          <w:sz w:val="28"/>
          <w:szCs w:val="28"/>
          <w:lang w:val="el-GR"/>
        </w:rPr>
        <w:tab/>
      </w:r>
      <w:r>
        <w:rPr>
          <w:rFonts w:ascii="Arial" w:hAnsi="Arial" w:cs="Arial"/>
          <w:sz w:val="28"/>
          <w:szCs w:val="28"/>
          <w:lang w:val="el-GR"/>
        </w:rPr>
        <w:tab/>
      </w:r>
      <w:r>
        <w:rPr>
          <w:rFonts w:ascii="Arial" w:hAnsi="Arial" w:cs="Arial"/>
          <w:sz w:val="28"/>
          <w:szCs w:val="28"/>
          <w:lang w:val="el-GR"/>
        </w:rPr>
        <w:tab/>
      </w:r>
      <w:r>
        <w:rPr>
          <w:rFonts w:ascii="Arial" w:hAnsi="Arial" w:cs="Arial"/>
          <w:sz w:val="28"/>
          <w:szCs w:val="28"/>
          <w:lang w:val="el-GR"/>
        </w:rPr>
        <w:tab/>
      </w:r>
      <w:proofErr w:type="spellStart"/>
      <w:r>
        <w:rPr>
          <w:rFonts w:ascii="Arial" w:hAnsi="Arial" w:cs="Arial"/>
          <w:sz w:val="28"/>
          <w:szCs w:val="28"/>
          <w:lang w:val="el-GR"/>
        </w:rPr>
        <w:t>Τ.Ψαρά-Μιλτιάδου</w:t>
      </w:r>
      <w:proofErr w:type="spellEnd"/>
      <w:r>
        <w:rPr>
          <w:rFonts w:ascii="Arial" w:hAnsi="Arial" w:cs="Arial"/>
          <w:sz w:val="28"/>
          <w:szCs w:val="28"/>
          <w:lang w:val="el-GR"/>
        </w:rPr>
        <w:t>, Δ.</w:t>
      </w:r>
    </w:p>
    <w:p w14:paraId="3DD5410A" w14:textId="77777777" w:rsidR="00156395" w:rsidRDefault="00156395" w:rsidP="00FD4789">
      <w:pPr>
        <w:spacing w:line="480" w:lineRule="auto"/>
        <w:ind w:right="237"/>
        <w:jc w:val="both"/>
        <w:rPr>
          <w:rFonts w:ascii="Arial" w:hAnsi="Arial" w:cs="Arial"/>
          <w:sz w:val="28"/>
          <w:szCs w:val="28"/>
          <w:lang w:val="el-GR"/>
        </w:rPr>
      </w:pPr>
    </w:p>
    <w:p w14:paraId="0DC46873" w14:textId="1447F1FC" w:rsidR="00156395" w:rsidRDefault="00156395" w:rsidP="00FD4789">
      <w:pPr>
        <w:spacing w:line="480" w:lineRule="auto"/>
        <w:ind w:right="237"/>
        <w:jc w:val="both"/>
        <w:rPr>
          <w:rFonts w:ascii="Arial" w:hAnsi="Arial" w:cs="Arial"/>
          <w:sz w:val="28"/>
          <w:szCs w:val="28"/>
          <w:lang w:val="el-GR"/>
        </w:rPr>
      </w:pPr>
      <w:r>
        <w:rPr>
          <w:rFonts w:ascii="Arial" w:hAnsi="Arial" w:cs="Arial"/>
          <w:sz w:val="28"/>
          <w:szCs w:val="28"/>
          <w:lang w:val="el-GR"/>
        </w:rPr>
        <w:tab/>
      </w:r>
      <w:r>
        <w:rPr>
          <w:rFonts w:ascii="Arial" w:hAnsi="Arial" w:cs="Arial"/>
          <w:sz w:val="28"/>
          <w:szCs w:val="28"/>
          <w:lang w:val="el-GR"/>
        </w:rPr>
        <w:tab/>
      </w:r>
      <w:r>
        <w:rPr>
          <w:rFonts w:ascii="Arial" w:hAnsi="Arial" w:cs="Arial"/>
          <w:sz w:val="28"/>
          <w:szCs w:val="28"/>
          <w:lang w:val="el-GR"/>
        </w:rPr>
        <w:tab/>
      </w:r>
      <w:r>
        <w:rPr>
          <w:rFonts w:ascii="Arial" w:hAnsi="Arial" w:cs="Arial"/>
          <w:sz w:val="28"/>
          <w:szCs w:val="28"/>
          <w:lang w:val="el-GR"/>
        </w:rPr>
        <w:tab/>
      </w:r>
      <w:r>
        <w:rPr>
          <w:rFonts w:ascii="Arial" w:hAnsi="Arial" w:cs="Arial"/>
          <w:sz w:val="28"/>
          <w:szCs w:val="28"/>
          <w:lang w:val="el-GR"/>
        </w:rPr>
        <w:tab/>
      </w:r>
      <w:r>
        <w:rPr>
          <w:rFonts w:ascii="Arial" w:hAnsi="Arial" w:cs="Arial"/>
          <w:sz w:val="28"/>
          <w:szCs w:val="28"/>
          <w:lang w:val="el-GR"/>
        </w:rPr>
        <w:tab/>
      </w:r>
      <w:r>
        <w:rPr>
          <w:rFonts w:ascii="Arial" w:hAnsi="Arial" w:cs="Arial"/>
          <w:sz w:val="28"/>
          <w:szCs w:val="28"/>
          <w:lang w:val="el-GR"/>
        </w:rPr>
        <w:tab/>
        <w:t>Στ. Χατζηγιάννη, Δ.</w:t>
      </w:r>
    </w:p>
    <w:p w14:paraId="56222190" w14:textId="77777777" w:rsidR="00156395" w:rsidRDefault="00156395" w:rsidP="00FD4789">
      <w:pPr>
        <w:spacing w:line="480" w:lineRule="auto"/>
        <w:ind w:right="237"/>
        <w:jc w:val="both"/>
        <w:rPr>
          <w:rFonts w:ascii="Arial" w:hAnsi="Arial" w:cs="Arial"/>
          <w:sz w:val="28"/>
          <w:szCs w:val="28"/>
          <w:lang w:val="el-GR"/>
        </w:rPr>
      </w:pPr>
    </w:p>
    <w:p w14:paraId="04457207" w14:textId="61573EE8" w:rsidR="00156395" w:rsidRDefault="00156395" w:rsidP="00FD4789">
      <w:pPr>
        <w:spacing w:line="480" w:lineRule="auto"/>
        <w:ind w:right="237"/>
        <w:jc w:val="both"/>
        <w:rPr>
          <w:rFonts w:ascii="Arial" w:hAnsi="Arial" w:cs="Arial"/>
          <w:sz w:val="28"/>
          <w:szCs w:val="28"/>
          <w:lang w:val="el-GR"/>
        </w:rPr>
      </w:pPr>
      <w:r>
        <w:rPr>
          <w:rFonts w:ascii="Arial" w:hAnsi="Arial" w:cs="Arial"/>
          <w:sz w:val="28"/>
          <w:szCs w:val="28"/>
          <w:lang w:val="el-GR"/>
        </w:rPr>
        <w:tab/>
      </w:r>
      <w:r>
        <w:rPr>
          <w:rFonts w:ascii="Arial" w:hAnsi="Arial" w:cs="Arial"/>
          <w:sz w:val="28"/>
          <w:szCs w:val="28"/>
          <w:lang w:val="el-GR"/>
        </w:rPr>
        <w:tab/>
      </w:r>
      <w:r>
        <w:rPr>
          <w:rFonts w:ascii="Arial" w:hAnsi="Arial" w:cs="Arial"/>
          <w:sz w:val="28"/>
          <w:szCs w:val="28"/>
          <w:lang w:val="el-GR"/>
        </w:rPr>
        <w:tab/>
      </w:r>
      <w:r>
        <w:rPr>
          <w:rFonts w:ascii="Arial" w:hAnsi="Arial" w:cs="Arial"/>
          <w:sz w:val="28"/>
          <w:szCs w:val="28"/>
          <w:lang w:val="el-GR"/>
        </w:rPr>
        <w:tab/>
      </w:r>
      <w:r>
        <w:rPr>
          <w:rFonts w:ascii="Arial" w:hAnsi="Arial" w:cs="Arial"/>
          <w:sz w:val="28"/>
          <w:szCs w:val="28"/>
          <w:lang w:val="el-GR"/>
        </w:rPr>
        <w:tab/>
      </w:r>
      <w:r>
        <w:rPr>
          <w:rFonts w:ascii="Arial" w:hAnsi="Arial" w:cs="Arial"/>
          <w:sz w:val="28"/>
          <w:szCs w:val="28"/>
          <w:lang w:val="el-GR"/>
        </w:rPr>
        <w:tab/>
      </w:r>
      <w:r>
        <w:rPr>
          <w:rFonts w:ascii="Arial" w:hAnsi="Arial" w:cs="Arial"/>
          <w:sz w:val="28"/>
          <w:szCs w:val="28"/>
          <w:lang w:val="el-GR"/>
        </w:rPr>
        <w:tab/>
      </w:r>
      <w:proofErr w:type="spellStart"/>
      <w:r>
        <w:rPr>
          <w:rFonts w:ascii="Arial" w:hAnsi="Arial" w:cs="Arial"/>
          <w:sz w:val="28"/>
          <w:szCs w:val="28"/>
          <w:lang w:val="el-GR"/>
        </w:rPr>
        <w:t>Η.Γεωργίου</w:t>
      </w:r>
      <w:proofErr w:type="spellEnd"/>
      <w:r>
        <w:rPr>
          <w:rFonts w:ascii="Arial" w:hAnsi="Arial" w:cs="Arial"/>
          <w:sz w:val="28"/>
          <w:szCs w:val="28"/>
          <w:lang w:val="el-GR"/>
        </w:rPr>
        <w:t>, Δ.</w:t>
      </w:r>
    </w:p>
    <w:p w14:paraId="269B997A" w14:textId="77777777" w:rsidR="00156395" w:rsidRPr="00F13BE8" w:rsidRDefault="00156395" w:rsidP="00FD4789">
      <w:pPr>
        <w:spacing w:line="480" w:lineRule="auto"/>
        <w:ind w:right="237"/>
        <w:jc w:val="both"/>
        <w:rPr>
          <w:rFonts w:ascii="Arial" w:hAnsi="Arial" w:cs="Arial"/>
          <w:sz w:val="28"/>
          <w:szCs w:val="28"/>
          <w:lang w:val="el-GR"/>
        </w:rPr>
      </w:pPr>
    </w:p>
    <w:sectPr w:rsidR="00156395" w:rsidRPr="00F13BE8" w:rsidSect="00AD67B0">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7BA82" w14:textId="77777777" w:rsidR="00BA3EEC" w:rsidRDefault="00BA3EEC" w:rsidP="00AD67B0">
      <w:r>
        <w:separator/>
      </w:r>
    </w:p>
  </w:endnote>
  <w:endnote w:type="continuationSeparator" w:id="0">
    <w:p w14:paraId="442A4BF4" w14:textId="77777777" w:rsidR="00BA3EEC" w:rsidRDefault="00BA3EEC" w:rsidP="00AD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2ACA7" w14:textId="77777777" w:rsidR="00BA3EEC" w:rsidRDefault="00BA3EEC" w:rsidP="00AD67B0">
      <w:r>
        <w:separator/>
      </w:r>
    </w:p>
  </w:footnote>
  <w:footnote w:type="continuationSeparator" w:id="0">
    <w:p w14:paraId="1B474D13" w14:textId="77777777" w:rsidR="00BA3EEC" w:rsidRDefault="00BA3EEC" w:rsidP="00AD6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776096"/>
      <w:docPartObj>
        <w:docPartGallery w:val="Page Numbers (Top of Page)"/>
        <w:docPartUnique/>
      </w:docPartObj>
    </w:sdtPr>
    <w:sdtEndPr>
      <w:rPr>
        <w:noProof/>
      </w:rPr>
    </w:sdtEndPr>
    <w:sdtContent>
      <w:p w14:paraId="4BC48420" w14:textId="1E65FE0D" w:rsidR="00AD67B0" w:rsidRDefault="00AD67B0">
        <w:pPr>
          <w:pStyle w:val="Header"/>
          <w:jc w:val="center"/>
        </w:pPr>
        <w:r>
          <w:fldChar w:fldCharType="begin"/>
        </w:r>
        <w:r>
          <w:instrText xml:space="preserve"> PAGE   \* MERGEFORMAT </w:instrText>
        </w:r>
        <w:r>
          <w:fldChar w:fldCharType="separate"/>
        </w:r>
        <w:r w:rsidR="00E50102">
          <w:rPr>
            <w:noProof/>
          </w:rPr>
          <w:t>2</w:t>
        </w:r>
        <w:r>
          <w:rPr>
            <w:noProof/>
          </w:rPr>
          <w:fldChar w:fldCharType="end"/>
        </w:r>
      </w:p>
    </w:sdtContent>
  </w:sdt>
  <w:p w14:paraId="23D6BC8B" w14:textId="77777777" w:rsidR="00AD67B0" w:rsidRDefault="00AD6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26CF2"/>
    <w:multiLevelType w:val="hybridMultilevel"/>
    <w:tmpl w:val="E7A2DF2A"/>
    <w:lvl w:ilvl="0" w:tplc="2000000F">
      <w:start w:val="1"/>
      <w:numFmt w:val="decimal"/>
      <w:lvlText w:val="%1."/>
      <w:lvlJc w:val="left"/>
      <w:pPr>
        <w:ind w:left="1418" w:hanging="360"/>
      </w:pPr>
      <w:rPr>
        <w:rFonts w:hint="default"/>
      </w:rPr>
    </w:lvl>
    <w:lvl w:ilvl="1" w:tplc="20000019" w:tentative="1">
      <w:start w:val="1"/>
      <w:numFmt w:val="lowerLetter"/>
      <w:lvlText w:val="%2."/>
      <w:lvlJc w:val="left"/>
      <w:pPr>
        <w:ind w:left="2138" w:hanging="360"/>
      </w:pPr>
    </w:lvl>
    <w:lvl w:ilvl="2" w:tplc="2000001B" w:tentative="1">
      <w:start w:val="1"/>
      <w:numFmt w:val="lowerRoman"/>
      <w:lvlText w:val="%3."/>
      <w:lvlJc w:val="right"/>
      <w:pPr>
        <w:ind w:left="2858" w:hanging="180"/>
      </w:pPr>
    </w:lvl>
    <w:lvl w:ilvl="3" w:tplc="2000000F" w:tentative="1">
      <w:start w:val="1"/>
      <w:numFmt w:val="decimal"/>
      <w:lvlText w:val="%4."/>
      <w:lvlJc w:val="left"/>
      <w:pPr>
        <w:ind w:left="3578" w:hanging="360"/>
      </w:pPr>
    </w:lvl>
    <w:lvl w:ilvl="4" w:tplc="20000019" w:tentative="1">
      <w:start w:val="1"/>
      <w:numFmt w:val="lowerLetter"/>
      <w:lvlText w:val="%5."/>
      <w:lvlJc w:val="left"/>
      <w:pPr>
        <w:ind w:left="4298" w:hanging="360"/>
      </w:pPr>
    </w:lvl>
    <w:lvl w:ilvl="5" w:tplc="2000001B" w:tentative="1">
      <w:start w:val="1"/>
      <w:numFmt w:val="lowerRoman"/>
      <w:lvlText w:val="%6."/>
      <w:lvlJc w:val="right"/>
      <w:pPr>
        <w:ind w:left="5018" w:hanging="180"/>
      </w:pPr>
    </w:lvl>
    <w:lvl w:ilvl="6" w:tplc="2000000F" w:tentative="1">
      <w:start w:val="1"/>
      <w:numFmt w:val="decimal"/>
      <w:lvlText w:val="%7."/>
      <w:lvlJc w:val="left"/>
      <w:pPr>
        <w:ind w:left="5738" w:hanging="360"/>
      </w:pPr>
    </w:lvl>
    <w:lvl w:ilvl="7" w:tplc="20000019" w:tentative="1">
      <w:start w:val="1"/>
      <w:numFmt w:val="lowerLetter"/>
      <w:lvlText w:val="%8."/>
      <w:lvlJc w:val="left"/>
      <w:pPr>
        <w:ind w:left="6458" w:hanging="360"/>
      </w:pPr>
    </w:lvl>
    <w:lvl w:ilvl="8" w:tplc="2000001B" w:tentative="1">
      <w:start w:val="1"/>
      <w:numFmt w:val="lowerRoman"/>
      <w:lvlText w:val="%9."/>
      <w:lvlJc w:val="right"/>
      <w:pPr>
        <w:ind w:left="7178" w:hanging="180"/>
      </w:pPr>
    </w:lvl>
  </w:abstractNum>
  <w:abstractNum w:abstractNumId="1" w15:restartNumberingAfterBreak="0">
    <w:nsid w:val="22107097"/>
    <w:multiLevelType w:val="hybridMultilevel"/>
    <w:tmpl w:val="3892CB88"/>
    <w:lvl w:ilvl="0" w:tplc="2000000F">
      <w:start w:val="1"/>
      <w:numFmt w:val="decimal"/>
      <w:lvlText w:val="%1."/>
      <w:lvlJc w:val="left"/>
      <w:pPr>
        <w:ind w:left="1070" w:hanging="360"/>
      </w:pPr>
      <w:rPr>
        <w:rFonts w:hint="default"/>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2" w15:restartNumberingAfterBreak="0">
    <w:nsid w:val="64A13484"/>
    <w:multiLevelType w:val="hybridMultilevel"/>
    <w:tmpl w:val="3E7457A4"/>
    <w:lvl w:ilvl="0" w:tplc="2820A390">
      <w:start w:val="1"/>
      <w:numFmt w:val="decimal"/>
      <w:lvlText w:val="%1."/>
      <w:lvlJc w:val="left"/>
      <w:pPr>
        <w:ind w:left="1637" w:hanging="360"/>
      </w:pPr>
      <w:rPr>
        <w:rFonts w:hint="default"/>
      </w:rPr>
    </w:lvl>
    <w:lvl w:ilvl="1" w:tplc="20000019" w:tentative="1">
      <w:start w:val="1"/>
      <w:numFmt w:val="lowerLetter"/>
      <w:lvlText w:val="%2."/>
      <w:lvlJc w:val="left"/>
      <w:pPr>
        <w:ind w:left="3960" w:hanging="360"/>
      </w:pPr>
    </w:lvl>
    <w:lvl w:ilvl="2" w:tplc="2000001B" w:tentative="1">
      <w:start w:val="1"/>
      <w:numFmt w:val="lowerRoman"/>
      <w:lvlText w:val="%3."/>
      <w:lvlJc w:val="right"/>
      <w:pPr>
        <w:ind w:left="4680" w:hanging="180"/>
      </w:pPr>
    </w:lvl>
    <w:lvl w:ilvl="3" w:tplc="2000000F" w:tentative="1">
      <w:start w:val="1"/>
      <w:numFmt w:val="decimal"/>
      <w:lvlText w:val="%4."/>
      <w:lvlJc w:val="left"/>
      <w:pPr>
        <w:ind w:left="5400" w:hanging="360"/>
      </w:pPr>
    </w:lvl>
    <w:lvl w:ilvl="4" w:tplc="20000019" w:tentative="1">
      <w:start w:val="1"/>
      <w:numFmt w:val="lowerLetter"/>
      <w:lvlText w:val="%5."/>
      <w:lvlJc w:val="left"/>
      <w:pPr>
        <w:ind w:left="6120" w:hanging="360"/>
      </w:pPr>
    </w:lvl>
    <w:lvl w:ilvl="5" w:tplc="2000001B" w:tentative="1">
      <w:start w:val="1"/>
      <w:numFmt w:val="lowerRoman"/>
      <w:lvlText w:val="%6."/>
      <w:lvlJc w:val="right"/>
      <w:pPr>
        <w:ind w:left="6840" w:hanging="180"/>
      </w:pPr>
    </w:lvl>
    <w:lvl w:ilvl="6" w:tplc="2000000F" w:tentative="1">
      <w:start w:val="1"/>
      <w:numFmt w:val="decimal"/>
      <w:lvlText w:val="%7."/>
      <w:lvlJc w:val="left"/>
      <w:pPr>
        <w:ind w:left="7560" w:hanging="360"/>
      </w:pPr>
    </w:lvl>
    <w:lvl w:ilvl="7" w:tplc="20000019" w:tentative="1">
      <w:start w:val="1"/>
      <w:numFmt w:val="lowerLetter"/>
      <w:lvlText w:val="%8."/>
      <w:lvlJc w:val="left"/>
      <w:pPr>
        <w:ind w:left="8280" w:hanging="360"/>
      </w:pPr>
    </w:lvl>
    <w:lvl w:ilvl="8" w:tplc="2000001B" w:tentative="1">
      <w:start w:val="1"/>
      <w:numFmt w:val="lowerRoman"/>
      <w:lvlText w:val="%9."/>
      <w:lvlJc w:val="right"/>
      <w:pPr>
        <w:ind w:left="90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7B0"/>
    <w:rsid w:val="0006721D"/>
    <w:rsid w:val="000970EF"/>
    <w:rsid w:val="000C6C2D"/>
    <w:rsid w:val="000C6C49"/>
    <w:rsid w:val="000C7F09"/>
    <w:rsid w:val="000E3F3D"/>
    <w:rsid w:val="00113DBF"/>
    <w:rsid w:val="00152633"/>
    <w:rsid w:val="00156395"/>
    <w:rsid w:val="00157478"/>
    <w:rsid w:val="00182D66"/>
    <w:rsid w:val="001D4800"/>
    <w:rsid w:val="001E4D4B"/>
    <w:rsid w:val="00206621"/>
    <w:rsid w:val="00245E90"/>
    <w:rsid w:val="00253387"/>
    <w:rsid w:val="00263A05"/>
    <w:rsid w:val="002F1753"/>
    <w:rsid w:val="002F7EA0"/>
    <w:rsid w:val="0032478D"/>
    <w:rsid w:val="003467F0"/>
    <w:rsid w:val="00360B9B"/>
    <w:rsid w:val="003C476A"/>
    <w:rsid w:val="00412D3E"/>
    <w:rsid w:val="00425AFF"/>
    <w:rsid w:val="0042727B"/>
    <w:rsid w:val="004422EF"/>
    <w:rsid w:val="00447495"/>
    <w:rsid w:val="00456113"/>
    <w:rsid w:val="004E3E7D"/>
    <w:rsid w:val="004E6EDE"/>
    <w:rsid w:val="004F2073"/>
    <w:rsid w:val="00516226"/>
    <w:rsid w:val="00525275"/>
    <w:rsid w:val="00536033"/>
    <w:rsid w:val="00544CB5"/>
    <w:rsid w:val="005628EE"/>
    <w:rsid w:val="00577C57"/>
    <w:rsid w:val="005959C4"/>
    <w:rsid w:val="0061175E"/>
    <w:rsid w:val="00613A62"/>
    <w:rsid w:val="00616D75"/>
    <w:rsid w:val="006213AC"/>
    <w:rsid w:val="00625AD0"/>
    <w:rsid w:val="00673C64"/>
    <w:rsid w:val="00684E2B"/>
    <w:rsid w:val="006A0A64"/>
    <w:rsid w:val="006B3026"/>
    <w:rsid w:val="006C0A59"/>
    <w:rsid w:val="006C2D40"/>
    <w:rsid w:val="006E2764"/>
    <w:rsid w:val="00723D59"/>
    <w:rsid w:val="00731275"/>
    <w:rsid w:val="00757CE1"/>
    <w:rsid w:val="00765528"/>
    <w:rsid w:val="00790186"/>
    <w:rsid w:val="00793C95"/>
    <w:rsid w:val="007B2B31"/>
    <w:rsid w:val="007B57C0"/>
    <w:rsid w:val="008139C9"/>
    <w:rsid w:val="0083403F"/>
    <w:rsid w:val="008430B0"/>
    <w:rsid w:val="00846A32"/>
    <w:rsid w:val="00853169"/>
    <w:rsid w:val="00855ABB"/>
    <w:rsid w:val="00861C01"/>
    <w:rsid w:val="008934BD"/>
    <w:rsid w:val="00894A8D"/>
    <w:rsid w:val="008A0858"/>
    <w:rsid w:val="008A7780"/>
    <w:rsid w:val="009231A1"/>
    <w:rsid w:val="0092363B"/>
    <w:rsid w:val="009749F8"/>
    <w:rsid w:val="0098157B"/>
    <w:rsid w:val="009A4B09"/>
    <w:rsid w:val="009B0A3E"/>
    <w:rsid w:val="009B4D11"/>
    <w:rsid w:val="009B6401"/>
    <w:rsid w:val="009D1B7F"/>
    <w:rsid w:val="00A06763"/>
    <w:rsid w:val="00A431AD"/>
    <w:rsid w:val="00A62FCB"/>
    <w:rsid w:val="00A66F04"/>
    <w:rsid w:val="00A72EC0"/>
    <w:rsid w:val="00A7612A"/>
    <w:rsid w:val="00A87F40"/>
    <w:rsid w:val="00AD67B0"/>
    <w:rsid w:val="00AF54D1"/>
    <w:rsid w:val="00AF6E28"/>
    <w:rsid w:val="00B216BC"/>
    <w:rsid w:val="00B24655"/>
    <w:rsid w:val="00B373D3"/>
    <w:rsid w:val="00B448B3"/>
    <w:rsid w:val="00B46EA9"/>
    <w:rsid w:val="00B50E66"/>
    <w:rsid w:val="00B52E3A"/>
    <w:rsid w:val="00B55A25"/>
    <w:rsid w:val="00B6571A"/>
    <w:rsid w:val="00BA3EEC"/>
    <w:rsid w:val="00BD50C2"/>
    <w:rsid w:val="00BF3F52"/>
    <w:rsid w:val="00BF4CB4"/>
    <w:rsid w:val="00C01E8C"/>
    <w:rsid w:val="00C414BE"/>
    <w:rsid w:val="00C5083E"/>
    <w:rsid w:val="00C7656C"/>
    <w:rsid w:val="00C8280C"/>
    <w:rsid w:val="00C83B5B"/>
    <w:rsid w:val="00C91C9A"/>
    <w:rsid w:val="00C95BF2"/>
    <w:rsid w:val="00CB4619"/>
    <w:rsid w:val="00CB5CFC"/>
    <w:rsid w:val="00CF423D"/>
    <w:rsid w:val="00D12EAD"/>
    <w:rsid w:val="00D134CA"/>
    <w:rsid w:val="00D416FA"/>
    <w:rsid w:val="00D91BDE"/>
    <w:rsid w:val="00DB3024"/>
    <w:rsid w:val="00DE4A03"/>
    <w:rsid w:val="00E12197"/>
    <w:rsid w:val="00E221BE"/>
    <w:rsid w:val="00E431BA"/>
    <w:rsid w:val="00E47185"/>
    <w:rsid w:val="00E50102"/>
    <w:rsid w:val="00E84D63"/>
    <w:rsid w:val="00EA0020"/>
    <w:rsid w:val="00EB699B"/>
    <w:rsid w:val="00ED4D30"/>
    <w:rsid w:val="00F034D6"/>
    <w:rsid w:val="00F13BE8"/>
    <w:rsid w:val="00F26F09"/>
    <w:rsid w:val="00F50719"/>
    <w:rsid w:val="00F754E4"/>
    <w:rsid w:val="00F8001B"/>
    <w:rsid w:val="00F959D2"/>
    <w:rsid w:val="00FA0EF3"/>
    <w:rsid w:val="00FB5F4E"/>
    <w:rsid w:val="00FD478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DEFF"/>
  <w15:chartTrackingRefBased/>
  <w15:docId w15:val="{A26338A1-BCDE-4A38-B6B1-B022850D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7B0"/>
    <w:pPr>
      <w:spacing w:after="0" w:line="240" w:lineRule="auto"/>
    </w:pPr>
    <w:rPr>
      <w:rFonts w:ascii="Times New Roman" w:eastAsia="Times New Roman" w:hAnsi="Times New Roman" w:cs="Times New Roman"/>
      <w:kern w:val="0"/>
      <w:sz w:val="24"/>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7B0"/>
    <w:pPr>
      <w:ind w:left="720"/>
      <w:contextualSpacing/>
    </w:pPr>
  </w:style>
  <w:style w:type="paragraph" w:styleId="Header">
    <w:name w:val="header"/>
    <w:basedOn w:val="Normal"/>
    <w:link w:val="HeaderChar"/>
    <w:uiPriority w:val="99"/>
    <w:unhideWhenUsed/>
    <w:rsid w:val="00AD67B0"/>
    <w:pPr>
      <w:tabs>
        <w:tab w:val="center" w:pos="4513"/>
        <w:tab w:val="right" w:pos="9026"/>
      </w:tabs>
    </w:pPr>
  </w:style>
  <w:style w:type="character" w:customStyle="1" w:styleId="HeaderChar">
    <w:name w:val="Header Char"/>
    <w:basedOn w:val="DefaultParagraphFont"/>
    <w:link w:val="Header"/>
    <w:uiPriority w:val="99"/>
    <w:rsid w:val="00AD67B0"/>
    <w:rPr>
      <w:rFonts w:ascii="Times New Roman" w:eastAsia="Times New Roman" w:hAnsi="Times New Roman" w:cs="Times New Roman"/>
      <w:kern w:val="0"/>
      <w:sz w:val="24"/>
      <w:szCs w:val="24"/>
      <w:lang w:val="en-US" w:bidi="ar-SA"/>
      <w14:ligatures w14:val="none"/>
    </w:rPr>
  </w:style>
  <w:style w:type="paragraph" w:styleId="Footer">
    <w:name w:val="footer"/>
    <w:basedOn w:val="Normal"/>
    <w:link w:val="FooterChar"/>
    <w:uiPriority w:val="99"/>
    <w:unhideWhenUsed/>
    <w:rsid w:val="00AD67B0"/>
    <w:pPr>
      <w:tabs>
        <w:tab w:val="center" w:pos="4513"/>
        <w:tab w:val="right" w:pos="9026"/>
      </w:tabs>
    </w:pPr>
  </w:style>
  <w:style w:type="character" w:customStyle="1" w:styleId="FooterChar">
    <w:name w:val="Footer Char"/>
    <w:basedOn w:val="DefaultParagraphFont"/>
    <w:link w:val="Footer"/>
    <w:uiPriority w:val="99"/>
    <w:rsid w:val="00AD67B0"/>
    <w:rPr>
      <w:rFonts w:ascii="Times New Roman" w:eastAsia="Times New Roman" w:hAnsi="Times New Roman" w:cs="Times New Roman"/>
      <w:kern w:val="0"/>
      <w:sz w:val="24"/>
      <w:szCs w:val="24"/>
      <w:lang w:val="en-US" w:bidi="ar-SA"/>
      <w14:ligatures w14:val="none"/>
    </w:rPr>
  </w:style>
  <w:style w:type="character" w:styleId="Hyperlink">
    <w:name w:val="Hyperlink"/>
    <w:basedOn w:val="DefaultParagraphFont"/>
    <w:uiPriority w:val="99"/>
    <w:semiHidden/>
    <w:unhideWhenUsed/>
    <w:rsid w:val="004E3E7D"/>
    <w:rPr>
      <w:color w:val="0000FF"/>
      <w:u w:val="single"/>
    </w:rPr>
  </w:style>
  <w:style w:type="paragraph" w:customStyle="1" w:styleId="kanonikh">
    <w:name w:val="kanonikh"/>
    <w:basedOn w:val="Normal"/>
    <w:rsid w:val="00A06763"/>
    <w:pPr>
      <w:spacing w:before="100" w:beforeAutospacing="1" w:after="100" w:afterAutospacing="1"/>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7060">
      <w:bodyDiv w:val="1"/>
      <w:marLeft w:val="0"/>
      <w:marRight w:val="0"/>
      <w:marTop w:val="0"/>
      <w:marBottom w:val="0"/>
      <w:divBdr>
        <w:top w:val="none" w:sz="0" w:space="0" w:color="auto"/>
        <w:left w:val="none" w:sz="0" w:space="0" w:color="auto"/>
        <w:bottom w:val="none" w:sz="0" w:space="0" w:color="auto"/>
        <w:right w:val="none" w:sz="0" w:space="0" w:color="auto"/>
      </w:divBdr>
    </w:div>
    <w:div w:id="407267523">
      <w:bodyDiv w:val="1"/>
      <w:marLeft w:val="0"/>
      <w:marRight w:val="0"/>
      <w:marTop w:val="0"/>
      <w:marBottom w:val="0"/>
      <w:divBdr>
        <w:top w:val="none" w:sz="0" w:space="0" w:color="auto"/>
        <w:left w:val="none" w:sz="0" w:space="0" w:color="auto"/>
        <w:bottom w:val="none" w:sz="0" w:space="0" w:color="auto"/>
        <w:right w:val="none" w:sz="0" w:space="0" w:color="auto"/>
      </w:divBdr>
    </w:div>
    <w:div w:id="1453089857">
      <w:bodyDiv w:val="1"/>
      <w:marLeft w:val="0"/>
      <w:marRight w:val="0"/>
      <w:marTop w:val="0"/>
      <w:marBottom w:val="0"/>
      <w:divBdr>
        <w:top w:val="none" w:sz="0" w:space="0" w:color="auto"/>
        <w:left w:val="none" w:sz="0" w:space="0" w:color="auto"/>
        <w:bottom w:val="none" w:sz="0" w:space="0" w:color="auto"/>
        <w:right w:val="none" w:sz="0" w:space="0" w:color="auto"/>
      </w:divBdr>
    </w:div>
    <w:div w:id="184439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Orfanidou  Andri</dc:creator>
  <cp:keywords/>
  <dc:description/>
  <cp:lastModifiedBy>Aspasia Bati</cp:lastModifiedBy>
  <cp:revision>2</cp:revision>
  <cp:lastPrinted>2023-12-28T09:06:00Z</cp:lastPrinted>
  <dcterms:created xsi:type="dcterms:W3CDTF">2024-01-16T13:24:00Z</dcterms:created>
  <dcterms:modified xsi:type="dcterms:W3CDTF">2024-01-16T13:24:00Z</dcterms:modified>
</cp:coreProperties>
</file>